
<file path=[Content_Types].xml><?xml version="1.0" encoding="utf-8"?>
<Types xmlns="http://schemas.openxmlformats.org/package/2006/content-types">
  <Default Extension="xml" ContentType="application/xml"/>
  <Default Extension="wmf" ContentType="image/x-wmf"/>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charts/chart95.xml" ContentType="application/vnd.openxmlformats-officedocument.drawingml.chart+xml"/>
  <Override PartName="/word/charts/chart96.xml" ContentType="application/vnd.openxmlformats-officedocument.drawingml.chart+xml"/>
  <Override PartName="/word/charts/chart97.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17.xml" ContentType="application/vnd.ms-office.chartcolorstyle+xml"/>
  <Override PartName="/word/charts/colors18.xml" ContentType="application/vnd.ms-office.chartcolorstyle+xml"/>
  <Override PartName="/word/charts/colors19.xml" ContentType="application/vnd.ms-office.chartcolorstyle+xml"/>
  <Override PartName="/word/charts/colors2.xml" ContentType="application/vnd.ms-office.chartcolorstyle+xml"/>
  <Override PartName="/word/charts/colors20.xml" ContentType="application/vnd.ms-office.chartcolorstyle+xml"/>
  <Override PartName="/word/charts/colors21.xml" ContentType="application/vnd.ms-office.chartcolorstyle+xml"/>
  <Override PartName="/word/charts/colors22.xml" ContentType="application/vnd.ms-office.chartcolorstyle+xml"/>
  <Override PartName="/word/charts/colors23.xml" ContentType="application/vnd.ms-office.chartcolorstyle+xml"/>
  <Override PartName="/word/charts/colors24.xml" ContentType="application/vnd.ms-office.chartcolorstyle+xml"/>
  <Override PartName="/word/charts/colors25.xml" ContentType="application/vnd.ms-office.chartcolorstyle+xml"/>
  <Override PartName="/word/charts/colors26.xml" ContentType="application/vnd.ms-office.chartcolorstyle+xml"/>
  <Override PartName="/word/charts/colors27.xml" ContentType="application/vnd.ms-office.chartcolorstyle+xml"/>
  <Override PartName="/word/charts/colors28.xml" ContentType="application/vnd.ms-office.chartcolorstyle+xml"/>
  <Override PartName="/word/charts/colors29.xml" ContentType="application/vnd.ms-office.chartcolorstyle+xml"/>
  <Override PartName="/word/charts/colors3.xml" ContentType="application/vnd.ms-office.chartcolorstyle+xml"/>
  <Override PartName="/word/charts/colors30.xml" ContentType="application/vnd.ms-office.chartcolorstyle+xml"/>
  <Override PartName="/word/charts/colors31.xml" ContentType="application/vnd.ms-office.chartcolorstyle+xml"/>
  <Override PartName="/word/charts/colors32.xml" ContentType="application/vnd.ms-office.chartcolorstyle+xml"/>
  <Override PartName="/word/charts/colors33.xml" ContentType="application/vnd.ms-office.chartcolorstyle+xml"/>
  <Override PartName="/word/charts/colors34.xml" ContentType="application/vnd.ms-office.chartcolorstyle+xml"/>
  <Override PartName="/word/charts/colors35.xml" ContentType="application/vnd.ms-office.chartcolorstyle+xml"/>
  <Override PartName="/word/charts/colors36.xml" ContentType="application/vnd.ms-office.chartcolorstyle+xml"/>
  <Override PartName="/word/charts/colors37.xml" ContentType="application/vnd.ms-office.chartcolorstyle+xml"/>
  <Override PartName="/word/charts/colors38.xml" ContentType="application/vnd.ms-office.chartcolorstyle+xml"/>
  <Override PartName="/word/charts/colors39.xml" ContentType="application/vnd.ms-office.chartcolorstyle+xml"/>
  <Override PartName="/word/charts/colors4.xml" ContentType="application/vnd.ms-office.chartcolorstyle+xml"/>
  <Override PartName="/word/charts/colors40.xml" ContentType="application/vnd.ms-office.chartcolorstyle+xml"/>
  <Override PartName="/word/charts/colors41.xml" ContentType="application/vnd.ms-office.chartcolorstyle+xml"/>
  <Override PartName="/word/charts/colors42.xml" ContentType="application/vnd.ms-office.chartcolorstyle+xml"/>
  <Override PartName="/word/charts/colors43.xml" ContentType="application/vnd.ms-office.chartcolorstyle+xml"/>
  <Override PartName="/word/charts/colors44.xml" ContentType="application/vnd.ms-office.chartcolorstyle+xml"/>
  <Override PartName="/word/charts/colors45.xml" ContentType="application/vnd.ms-office.chartcolorstyle+xml"/>
  <Override PartName="/word/charts/colors46.xml" ContentType="application/vnd.ms-office.chartcolorstyle+xml"/>
  <Override PartName="/word/charts/colors47.xml" ContentType="application/vnd.ms-office.chartcolorstyle+xml"/>
  <Override PartName="/word/charts/colors48.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17.xml" ContentType="application/vnd.ms-office.chartstyle+xml"/>
  <Override PartName="/word/charts/style18.xml" ContentType="application/vnd.ms-office.chartstyle+xml"/>
  <Override PartName="/word/charts/style19.xml" ContentType="application/vnd.ms-office.chartstyle+xml"/>
  <Override PartName="/word/charts/style2.xml" ContentType="application/vnd.ms-office.chartstyle+xml"/>
  <Override PartName="/word/charts/style20.xml" ContentType="application/vnd.ms-office.chartstyle+xml"/>
  <Override PartName="/word/charts/style21.xml" ContentType="application/vnd.ms-office.chartstyle+xml"/>
  <Override PartName="/word/charts/style22.xml" ContentType="application/vnd.ms-office.chartstyle+xml"/>
  <Override PartName="/word/charts/style23.xml" ContentType="application/vnd.ms-office.chartstyle+xml"/>
  <Override PartName="/word/charts/style24.xml" ContentType="application/vnd.ms-office.chartstyle+xml"/>
  <Override PartName="/word/charts/style25.xml" ContentType="application/vnd.ms-office.chartstyle+xml"/>
  <Override PartName="/word/charts/style26.xml" ContentType="application/vnd.ms-office.chartstyle+xml"/>
  <Override PartName="/word/charts/style27.xml" ContentType="application/vnd.ms-office.chartstyle+xml"/>
  <Override PartName="/word/charts/style28.xml" ContentType="application/vnd.ms-office.chartstyle+xml"/>
  <Override PartName="/word/charts/style29.xml" ContentType="application/vnd.ms-office.chartstyle+xml"/>
  <Override PartName="/word/charts/style3.xml" ContentType="application/vnd.ms-office.chartstyle+xml"/>
  <Override PartName="/word/charts/style30.xml" ContentType="application/vnd.ms-office.chartstyle+xml"/>
  <Override PartName="/word/charts/style31.xml" ContentType="application/vnd.ms-office.chartstyle+xml"/>
  <Override PartName="/word/charts/style32.xml" ContentType="application/vnd.ms-office.chartstyle+xml"/>
  <Override PartName="/word/charts/style33.xml" ContentType="application/vnd.ms-office.chartstyle+xml"/>
  <Override PartName="/word/charts/style34.xml" ContentType="application/vnd.ms-office.chartstyle+xml"/>
  <Override PartName="/word/charts/style35.xml" ContentType="application/vnd.ms-office.chartstyle+xml"/>
  <Override PartName="/word/charts/style36.xml" ContentType="application/vnd.ms-office.chartstyle+xml"/>
  <Override PartName="/word/charts/style37.xml" ContentType="application/vnd.ms-office.chartstyle+xml"/>
  <Override PartName="/word/charts/style38.xml" ContentType="application/vnd.ms-office.chartstyle+xml"/>
  <Override PartName="/word/charts/style39.xml" ContentType="application/vnd.ms-office.chartstyle+xml"/>
  <Override PartName="/word/charts/style4.xml" ContentType="application/vnd.ms-office.chartstyle+xml"/>
  <Override PartName="/word/charts/style40.xml" ContentType="application/vnd.ms-office.chartstyle+xml"/>
  <Override PartName="/word/charts/style41.xml" ContentType="application/vnd.ms-office.chartstyle+xml"/>
  <Override PartName="/word/charts/style42.xml" ContentType="application/vnd.ms-office.chartstyle+xml"/>
  <Override PartName="/word/charts/style43.xml" ContentType="application/vnd.ms-office.chartstyle+xml"/>
  <Override PartName="/word/charts/style44.xml" ContentType="application/vnd.ms-office.chartstyle+xml"/>
  <Override PartName="/word/charts/style45.xml" ContentType="application/vnd.ms-office.chartstyle+xml"/>
  <Override PartName="/word/charts/style46.xml" ContentType="application/vnd.ms-office.chartstyle+xml"/>
  <Override PartName="/word/charts/style47.xml" ContentType="application/vnd.ms-office.chartstyle+xml"/>
  <Override PartName="/word/charts/style48.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10.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Override PartName="/word/theme/themeOverride13.xml" ContentType="application/vnd.openxmlformats-officedocument.themeOverride+xml"/>
  <Override PartName="/word/theme/themeOverride14.xml" ContentType="application/vnd.openxmlformats-officedocument.themeOverride+xml"/>
  <Override PartName="/word/theme/themeOverride15.xml" ContentType="application/vnd.openxmlformats-officedocument.themeOverride+xml"/>
  <Override PartName="/word/theme/themeOverride16.xml" ContentType="application/vnd.openxmlformats-officedocument.themeOverride+xml"/>
  <Override PartName="/word/theme/themeOverride17.xml" ContentType="application/vnd.openxmlformats-officedocument.themeOverride+xml"/>
  <Override PartName="/word/theme/themeOverride18.xml" ContentType="application/vnd.openxmlformats-officedocument.themeOverride+xml"/>
  <Override PartName="/word/theme/themeOverride19.xml" ContentType="application/vnd.openxmlformats-officedocument.themeOverride+xml"/>
  <Override PartName="/word/theme/themeOverride2.xml" ContentType="application/vnd.openxmlformats-officedocument.themeOverride+xml"/>
  <Override PartName="/word/theme/themeOverride20.xml" ContentType="application/vnd.openxmlformats-officedocument.themeOverride+xml"/>
  <Override PartName="/word/theme/themeOverride21.xml" ContentType="application/vnd.openxmlformats-officedocument.themeOverride+xml"/>
  <Override PartName="/word/theme/themeOverride22.xml" ContentType="application/vnd.openxmlformats-officedocument.themeOverride+xml"/>
  <Override PartName="/word/theme/themeOverride23.xml" ContentType="application/vnd.openxmlformats-officedocument.themeOverride+xml"/>
  <Override PartName="/word/theme/themeOverride24.xml" ContentType="application/vnd.openxmlformats-officedocument.themeOverride+xml"/>
  <Override PartName="/word/theme/themeOverride25.xml" ContentType="application/vnd.openxmlformats-officedocument.themeOverride+xml"/>
  <Override PartName="/word/theme/themeOverride26.xml" ContentType="application/vnd.openxmlformats-officedocument.themeOverride+xml"/>
  <Override PartName="/word/theme/themeOverride27.xml" ContentType="application/vnd.openxmlformats-officedocument.themeOverride+xml"/>
  <Override PartName="/word/theme/themeOverride28.xml" ContentType="application/vnd.openxmlformats-officedocument.themeOverride+xml"/>
  <Override PartName="/word/theme/themeOverride29.xml" ContentType="application/vnd.openxmlformats-officedocument.themeOverride+xml"/>
  <Override PartName="/word/theme/themeOverride3.xml" ContentType="application/vnd.openxmlformats-officedocument.themeOverride+xml"/>
  <Override PartName="/word/theme/themeOverride30.xml" ContentType="application/vnd.openxmlformats-officedocument.themeOverride+xml"/>
  <Override PartName="/word/theme/themeOverride31.xml" ContentType="application/vnd.openxmlformats-officedocument.themeOverride+xml"/>
  <Override PartName="/word/theme/themeOverride32.xml" ContentType="application/vnd.openxmlformats-officedocument.themeOverride+xml"/>
  <Override PartName="/word/theme/themeOverride33.xml" ContentType="application/vnd.openxmlformats-officedocument.themeOverride+xml"/>
  <Override PartName="/word/theme/themeOverride34.xml" ContentType="application/vnd.openxmlformats-officedocument.themeOverride+xml"/>
  <Override PartName="/word/theme/themeOverride35.xml" ContentType="application/vnd.openxmlformats-officedocument.themeOverride+xml"/>
  <Override PartName="/word/theme/themeOverride36.xml" ContentType="application/vnd.openxmlformats-officedocument.themeOverride+xml"/>
  <Override PartName="/word/theme/themeOverride37.xml" ContentType="application/vnd.openxmlformats-officedocument.themeOverride+xml"/>
  <Override PartName="/word/theme/themeOverride38.xml" ContentType="application/vnd.openxmlformats-officedocument.themeOverride+xml"/>
  <Override PartName="/word/theme/themeOverride39.xml" ContentType="application/vnd.openxmlformats-officedocument.themeOverride+xml"/>
  <Override PartName="/word/theme/themeOverride4.xml" ContentType="application/vnd.openxmlformats-officedocument.themeOverride+xml"/>
  <Override PartName="/word/theme/themeOverride40.xml" ContentType="application/vnd.openxmlformats-officedocument.themeOverride+xml"/>
  <Override PartName="/word/theme/themeOverride41.xml" ContentType="application/vnd.openxmlformats-officedocument.themeOverride+xml"/>
  <Override PartName="/word/theme/themeOverride42.xml" ContentType="application/vnd.openxmlformats-officedocument.themeOverride+xml"/>
  <Override PartName="/word/theme/themeOverride43.xml" ContentType="application/vnd.openxmlformats-officedocument.themeOverride+xml"/>
  <Override PartName="/word/theme/themeOverride44.xml" ContentType="application/vnd.openxmlformats-officedocument.themeOverride+xml"/>
  <Override PartName="/word/theme/themeOverride45.xml" ContentType="application/vnd.openxmlformats-officedocument.themeOverride+xml"/>
  <Override PartName="/word/theme/themeOverride46.xml" ContentType="application/vnd.openxmlformats-officedocument.themeOverride+xml"/>
  <Override PartName="/word/theme/themeOverride47.xml" ContentType="application/vnd.openxmlformats-officedocument.themeOverride+xml"/>
  <Override PartName="/word/theme/themeOverride48.xml" ContentType="application/vnd.openxmlformats-officedocument.themeOverride+xml"/>
  <Override PartName="/word/theme/themeOverride49.xml" ContentType="application/vnd.openxmlformats-officedocument.themeOverride+xml"/>
  <Override PartName="/word/theme/themeOverride5.xml" ContentType="application/vnd.openxmlformats-officedocument.themeOverride+xml"/>
  <Override PartName="/word/theme/themeOverride50.xml" ContentType="application/vnd.openxmlformats-officedocument.themeOverride+xml"/>
  <Override PartName="/word/theme/themeOverride51.xml" ContentType="application/vnd.openxmlformats-officedocument.themeOverride+xml"/>
  <Override PartName="/word/theme/themeOverride52.xml" ContentType="application/vnd.openxmlformats-officedocument.themeOverride+xml"/>
  <Override PartName="/word/theme/themeOverride53.xml" ContentType="application/vnd.openxmlformats-officedocument.themeOverride+xml"/>
  <Override PartName="/word/theme/themeOverride54.xml" ContentType="application/vnd.openxmlformats-officedocument.themeOverride+xml"/>
  <Override PartName="/word/theme/themeOverride55.xml" ContentType="application/vnd.openxmlformats-officedocument.themeOverride+xml"/>
  <Override PartName="/word/theme/themeOverride56.xml" ContentType="application/vnd.openxmlformats-officedocument.themeOverride+xml"/>
  <Override PartName="/word/theme/themeOverride57.xml" ContentType="application/vnd.openxmlformats-officedocument.themeOverride+xml"/>
  <Override PartName="/word/theme/themeOverride58.xml" ContentType="application/vnd.openxmlformats-officedocument.themeOverride+xml"/>
  <Override PartName="/word/theme/themeOverride59.xml" ContentType="application/vnd.openxmlformats-officedocument.themeOverride+xml"/>
  <Override PartName="/word/theme/themeOverride6.xml" ContentType="application/vnd.openxmlformats-officedocument.themeOverride+xml"/>
  <Override PartName="/word/theme/themeOverride60.xml" ContentType="application/vnd.openxmlformats-officedocument.themeOverride+xml"/>
  <Override PartName="/word/theme/themeOverride61.xml" ContentType="application/vnd.openxmlformats-officedocument.themeOverride+xml"/>
  <Override PartName="/word/theme/themeOverride62.xml" ContentType="application/vnd.openxmlformats-officedocument.themeOverride+xml"/>
  <Override PartName="/word/theme/themeOverride63.xml" ContentType="application/vnd.openxmlformats-officedocument.themeOverride+xml"/>
  <Override PartName="/word/theme/themeOverride64.xml" ContentType="application/vnd.openxmlformats-officedocument.themeOverride+xml"/>
  <Override PartName="/word/theme/themeOverride65.xml" ContentType="application/vnd.openxmlformats-officedocument.themeOverride+xml"/>
  <Override PartName="/word/theme/themeOverride66.xml" ContentType="application/vnd.openxmlformats-officedocument.themeOverride+xml"/>
  <Override PartName="/word/theme/themeOverride67.xml" ContentType="application/vnd.openxmlformats-officedocument.themeOverride+xml"/>
  <Override PartName="/word/theme/themeOverride68.xml" ContentType="application/vnd.openxmlformats-officedocument.themeOverride+xml"/>
  <Override PartName="/word/theme/themeOverride69.xml" ContentType="application/vnd.openxmlformats-officedocument.themeOverride+xml"/>
  <Override PartName="/word/theme/themeOverride7.xml" ContentType="application/vnd.openxmlformats-officedocument.themeOverride+xml"/>
  <Override PartName="/word/theme/themeOverride70.xml" ContentType="application/vnd.openxmlformats-officedocument.themeOverride+xml"/>
  <Override PartName="/word/theme/themeOverride71.xml" ContentType="application/vnd.openxmlformats-officedocument.themeOverride+xml"/>
  <Override PartName="/word/theme/themeOverride72.xml" ContentType="application/vnd.openxmlformats-officedocument.themeOverride+xml"/>
  <Override PartName="/word/theme/themeOverride73.xml" ContentType="application/vnd.openxmlformats-officedocument.themeOverride+xml"/>
  <Override PartName="/word/theme/themeOverride74.xml" ContentType="application/vnd.openxmlformats-officedocument.themeOverride+xml"/>
  <Override PartName="/word/theme/themeOverride75.xml" ContentType="application/vnd.openxmlformats-officedocument.themeOverride+xml"/>
  <Override PartName="/word/theme/themeOverride76.xml" ContentType="application/vnd.openxmlformats-officedocument.themeOverride+xml"/>
  <Override PartName="/word/theme/themeOverride77.xml" ContentType="application/vnd.openxmlformats-officedocument.themeOverride+xml"/>
  <Override PartName="/word/theme/themeOverride78.xml" ContentType="application/vnd.openxmlformats-officedocument.themeOverride+xml"/>
  <Override PartName="/word/theme/themeOverride79.xml" ContentType="application/vnd.openxmlformats-officedocument.themeOverride+xml"/>
  <Override PartName="/word/theme/themeOverride8.xml" ContentType="application/vnd.openxmlformats-officedocument.themeOverride+xml"/>
  <Override PartName="/word/theme/themeOverride80.xml" ContentType="application/vnd.openxmlformats-officedocument.themeOverride+xml"/>
  <Override PartName="/word/theme/themeOverride81.xml" ContentType="application/vnd.openxmlformats-officedocument.themeOverride+xml"/>
  <Override PartName="/word/theme/themeOverride82.xml" ContentType="application/vnd.openxmlformats-officedocument.themeOverride+xml"/>
  <Override PartName="/word/theme/themeOverride83.xml" ContentType="application/vnd.openxmlformats-officedocument.themeOverride+xml"/>
  <Override PartName="/word/theme/themeOverride84.xml" ContentType="application/vnd.openxmlformats-officedocument.themeOverride+xml"/>
  <Override PartName="/word/theme/themeOverride85.xml" ContentType="application/vnd.openxmlformats-officedocument.themeOverride+xml"/>
  <Override PartName="/word/theme/themeOverride86.xml" ContentType="application/vnd.openxmlformats-officedocument.themeOverride+xml"/>
  <Override PartName="/word/theme/themeOverride87.xml" ContentType="application/vnd.openxmlformats-officedocument.themeOverride+xml"/>
  <Override PartName="/word/theme/themeOverride88.xml" ContentType="application/vnd.openxmlformats-officedocument.themeOverride+xml"/>
  <Override PartName="/word/theme/themeOverride89.xml" ContentType="application/vnd.openxmlformats-officedocument.themeOverride+xml"/>
  <Override PartName="/word/theme/themeOverride9.xml" ContentType="application/vnd.openxmlformats-officedocument.themeOverride+xml"/>
  <Override PartName="/word/theme/themeOverride90.xml" ContentType="application/vnd.openxmlformats-officedocument.themeOverride+xml"/>
  <Override PartName="/word/theme/themeOverride91.xml" ContentType="application/vnd.openxmlformats-officedocument.themeOverride+xml"/>
  <Override PartName="/word/theme/themeOverride92.xml" ContentType="application/vnd.openxmlformats-officedocument.themeOverrid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headerReference r:id="rId7" w:type="first"/>
          <w:footerReference r:id="rId10" w:type="first"/>
          <w:headerReference r:id="rId5" w:type="default"/>
          <w:footerReference r:id="rId8" w:type="default"/>
          <w:headerReference r:id="rId6" w:type="even"/>
          <w:footerReference r:id="rId9" w:type="even"/>
          <w:pgSz w:w="11906" w:h="16839"/>
          <w:pgMar w:top="1440" w:right="1080" w:bottom="1440" w:left="1080" w:header="0" w:footer="991" w:gutter="0"/>
          <w:cols w:space="720" w:num="1"/>
        </w:sectPr>
      </w:pPr>
      <w:bookmarkStart w:id="304" w:name="_GoBack"/>
      <w:bookmarkEnd w:id="304"/>
      <w:r>
        <w:rPr>
          <w:sz w:val="21"/>
        </w:rPr>
        <mc:AlternateContent>
          <mc:Choice Requires="wps">
            <w:drawing>
              <wp:anchor distT="0" distB="0" distL="114300" distR="114300" simplePos="0" relativeHeight="251673600" behindDoc="0" locked="0" layoutInCell="1" allowOverlap="1">
                <wp:simplePos x="0" y="0"/>
                <wp:positionH relativeFrom="column">
                  <wp:posOffset>1320165</wp:posOffset>
                </wp:positionH>
                <wp:positionV relativeFrom="paragraph">
                  <wp:posOffset>8202930</wp:posOffset>
                </wp:positionV>
                <wp:extent cx="2844800" cy="770255"/>
                <wp:effectExtent l="0" t="0" r="0" b="0"/>
                <wp:wrapNone/>
                <wp:docPr id="20" name="矩形 19"/>
                <wp:cNvGraphicFramePr/>
                <a:graphic xmlns:a="http://schemas.openxmlformats.org/drawingml/2006/main">
                  <a:graphicData uri="http://schemas.microsoft.com/office/word/2010/wordprocessingShape">
                    <wps:wsp>
                      <wps:cNvSpPr/>
                      <wps:spPr>
                        <a:xfrm>
                          <a:off x="0" y="0"/>
                          <a:ext cx="2844800" cy="770255"/>
                        </a:xfrm>
                        <a:prstGeom prst="rect">
                          <a:avLst/>
                        </a:prstGeom>
                      </wps:spPr>
                      <wps:txbx>
                        <w:txbxContent>
                          <w:p>
                            <w:pPr>
                              <w:pStyle w:val="19"/>
                              <w:keepNext w:val="0"/>
                              <w:keepLines w:val="0"/>
                              <w:pageBreakBefore w:val="0"/>
                              <w:widowControl w:val="0"/>
                              <w:kinsoku/>
                              <w:wordWrap/>
                              <w:overflowPunct/>
                              <w:topLinePunct w:val="0"/>
                              <w:autoSpaceDE/>
                              <w:autoSpaceDN/>
                              <w:bidi w:val="0"/>
                              <w:adjustRightInd/>
                              <w:snapToGrid/>
                              <w:spacing w:line="320" w:lineRule="exact"/>
                              <w:ind w:firstLine="1920" w:firstLineChars="600"/>
                              <w:jc w:val="both"/>
                              <w:textAlignment w:val="auto"/>
                              <w:rPr>
                                <w:rFonts w:hint="eastAsia"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就业办</w:t>
                            </w:r>
                          </w:p>
                          <w:p>
                            <w:pPr>
                              <w:pStyle w:val="19"/>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rFonts w:hint="default"/>
                                <w:sz w:val="24"/>
                                <w:szCs w:val="24"/>
                                <w:lang w:val="en-US" w:eastAsia="zh-CN"/>
                              </w:rPr>
                            </w:pPr>
                            <w:r>
                              <w:rPr>
                                <w:rFonts w:hint="eastAsia" w:ascii="微软雅黑" w:hAnsi="微软雅黑" w:eastAsia="微软雅黑" w:cs="微软雅黑"/>
                                <w:sz w:val="32"/>
                                <w:szCs w:val="32"/>
                                <w:lang w:val="en-US" w:eastAsia="zh-CN"/>
                              </w:rPr>
                              <w:t>2023年11月16日</w:t>
                            </w:r>
                          </w:p>
                        </w:txbxContent>
                      </wps:txbx>
                      <wps:bodyPr wrap="square">
                        <a:noAutofit/>
                      </wps:bodyPr>
                    </wps:wsp>
                  </a:graphicData>
                </a:graphic>
              </wp:anchor>
            </w:drawing>
          </mc:Choice>
          <mc:Fallback>
            <w:pict>
              <v:rect id="矩形 19" o:spid="_x0000_s1026" o:spt="1" style="position:absolute;left:0pt;margin-left:103.95pt;margin-top:645.9pt;height:60.65pt;width:224pt;z-index:251673600;mso-width-relative:page;mso-height-relative:page;" filled="f" stroked="f" coordsize="21600,21600" o:gfxdata="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LCm0hN0AAAAN&#10;AQAADwAAAAAAAAABACAAAAAiAAAAZHJzL2Rvd25yZXYueG1sUEsBAhQAFAAAAAgAh07iQCi5hvGl&#10;AQAAPAMAAA4AAAAAAAAAAQAgAAAALAEAAGRycy9lMm9Eb2MueG1sUEsFBgAAAAAGAAYAWQEAAEMF&#10;AAAAAA==&#10;">
                <v:fill on="f" focussize="0,0"/>
                <v:stroke on="f"/>
                <v:imagedata o:title=""/>
                <o:lock v:ext="edit" aspectratio="f"/>
                <v:textbox>
                  <w:txbxContent>
                    <w:p>
                      <w:pPr>
                        <w:pStyle w:val="19"/>
                        <w:keepNext w:val="0"/>
                        <w:keepLines w:val="0"/>
                        <w:pageBreakBefore w:val="0"/>
                        <w:widowControl w:val="0"/>
                        <w:kinsoku/>
                        <w:wordWrap/>
                        <w:overflowPunct/>
                        <w:topLinePunct w:val="0"/>
                        <w:autoSpaceDE/>
                        <w:autoSpaceDN/>
                        <w:bidi w:val="0"/>
                        <w:adjustRightInd/>
                        <w:snapToGrid/>
                        <w:spacing w:line="320" w:lineRule="exact"/>
                        <w:ind w:firstLine="1920" w:firstLineChars="600"/>
                        <w:jc w:val="both"/>
                        <w:textAlignment w:val="auto"/>
                        <w:rPr>
                          <w:rFonts w:hint="eastAsia"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就业办</w:t>
                      </w:r>
                    </w:p>
                    <w:p>
                      <w:pPr>
                        <w:pStyle w:val="19"/>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rFonts w:hint="default"/>
                          <w:sz w:val="24"/>
                          <w:szCs w:val="24"/>
                          <w:lang w:val="en-US" w:eastAsia="zh-CN"/>
                        </w:rPr>
                      </w:pPr>
                      <w:r>
                        <w:rPr>
                          <w:rFonts w:hint="eastAsia" w:ascii="微软雅黑" w:hAnsi="微软雅黑" w:eastAsia="微软雅黑" w:cs="微软雅黑"/>
                          <w:sz w:val="32"/>
                          <w:szCs w:val="32"/>
                          <w:lang w:val="en-US" w:eastAsia="zh-CN"/>
                        </w:rPr>
                        <w:t>2023年11月16日</w:t>
                      </w:r>
                    </w:p>
                  </w:txbxContent>
                </v:textbox>
              </v:rect>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-821690</wp:posOffset>
                </wp:positionH>
                <wp:positionV relativeFrom="paragraph">
                  <wp:posOffset>5728335</wp:posOffset>
                </wp:positionV>
                <wp:extent cx="6492875" cy="1280160"/>
                <wp:effectExtent l="0" t="0" r="0" b="0"/>
                <wp:wrapNone/>
                <wp:docPr id="14" name="矩形 13"/>
                <wp:cNvGraphicFramePr/>
                <a:graphic xmlns:a="http://schemas.openxmlformats.org/drawingml/2006/main">
                  <a:graphicData uri="http://schemas.microsoft.com/office/word/2010/wordprocessingShape">
                    <wps:wsp>
                      <wps:cNvSpPr/>
                      <wps:spPr>
                        <a:xfrm>
                          <a:off x="0" y="0"/>
                          <a:ext cx="6492875" cy="1280160"/>
                        </a:xfrm>
                        <a:prstGeom prst="rect">
                          <a:avLst/>
                        </a:prstGeom>
                      </wps:spPr>
                      <wps:txbx>
                        <w:txbxContent>
                          <w:p>
                            <w:pPr>
                              <w:pStyle w:val="19"/>
                              <w:keepNext w:val="0"/>
                              <w:keepLines w:val="0"/>
                              <w:pageBreakBefore w:val="0"/>
                              <w:widowControl w:val="0"/>
                              <w:kinsoku/>
                              <w:wordWrap/>
                              <w:overflowPunct/>
                              <w:topLinePunct w:val="0"/>
                              <w:autoSpaceDE/>
                              <w:autoSpaceDN/>
                              <w:bidi w:val="0"/>
                              <w:adjustRightInd/>
                              <w:snapToGrid/>
                              <w:spacing w:line="1000" w:lineRule="exact"/>
                              <w:ind w:left="0"/>
                              <w:jc w:val="right"/>
                              <w:textAlignment w:val="auto"/>
                              <w:rPr>
                                <w:rFonts w:hint="default" w:ascii="微软雅黑" w:hAnsi="微软雅黑" w:eastAsia="微软雅黑" w:cs="微软雅黑"/>
                                <w:color w:val="F4791F"/>
                                <w:lang w:val="en-US" w:eastAsia="zh-CN"/>
                                <w14:textFill>
                                  <w14:gradFill>
                                    <w14:gsLst>
                                      <w14:gs w14:pos="0">
                                        <w14:srgbClr w14:val="005D77"/>
                                      </w14:gs>
                                      <w14:gs w14:pos="100000">
                                        <w14:srgbClr w14:val="27A8BD"/>
                                      </w14:gs>
                                    </w14:gsLst>
                                    <w14:lin w14:ang="2700000" w14:scaled="0"/>
                                  </w14:gradFill>
                                </w14:textFill>
                              </w:rPr>
                            </w:pPr>
                            <w:r>
                              <w:rPr>
                                <w:rFonts w:hint="eastAsia" w:ascii="微软雅黑" w:hAnsi="微软雅黑" w:eastAsia="微软雅黑" w:cs="微软雅黑"/>
                                <w:b/>
                                <w:color w:val="F4791F"/>
                                <w:kern w:val="2"/>
                                <w:sz w:val="96"/>
                                <w:szCs w:val="96"/>
                                <w:lang w:val="en-US" w:eastAsia="zh-CN"/>
                                <w14:textFill>
                                  <w14:gradFill>
                                    <w14:gsLst>
                                      <w14:gs w14:pos="0">
                                        <w14:srgbClr w14:val="005D77"/>
                                      </w14:gs>
                                      <w14:gs w14:pos="100000">
                                        <w14:srgbClr w14:val="27A8BD"/>
                                      </w14:gs>
                                    </w14:gsLst>
                                    <w14:lin w14:ang="2700000" w14:scaled="0"/>
                                  </w14:gradFill>
                                </w14:textFill>
                              </w:rPr>
                              <w:t>海南科技职业大学</w:t>
                            </w:r>
                          </w:p>
                        </w:txbxContent>
                      </wps:txbx>
                      <wps:bodyPr wrap="square">
                        <a:spAutoFit/>
                      </wps:bodyPr>
                    </wps:wsp>
                  </a:graphicData>
                </a:graphic>
              </wp:anchor>
            </w:drawing>
          </mc:Choice>
          <mc:Fallback>
            <w:pict>
              <v:rect id="矩形 13" o:spid="_x0000_s1026" o:spt="1" style="position:absolute;left:0pt;margin-left:-64.7pt;margin-top:451.05pt;height:100.8pt;width:511.25pt;z-index:251670528;mso-width-relative:page;mso-height-relative:page;" filled="f" stroked="f" coordsize="21600,21600" o:gfxdata="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PV9a9faAAAADQEA&#10;AA8AAAAAAAAAAQAgAAAAIgAAAGRycy9kb3ducmV2LnhtbFBLAQIUABQAAAAIAIdO4kBcIrDSpgEA&#10;AD0DAAAOAAAAAAAAAAEAIAAAACkBAABkcnMvZTJvRG9jLnhtbFBLBQYAAAAABgAGAFkBAABBBQAA&#10;AAA=&#10;">
                <v:fill on="f" focussize="0,0"/>
                <v:stroke on="f"/>
                <v:imagedata o:title=""/>
                <o:lock v:ext="edit" aspectratio="f"/>
                <v:textbox style="mso-fit-shape-to-text:t;">
                  <w:txbxContent>
                    <w:p>
                      <w:pPr>
                        <w:pStyle w:val="19"/>
                        <w:keepNext w:val="0"/>
                        <w:keepLines w:val="0"/>
                        <w:pageBreakBefore w:val="0"/>
                        <w:widowControl w:val="0"/>
                        <w:kinsoku/>
                        <w:wordWrap/>
                        <w:overflowPunct/>
                        <w:topLinePunct w:val="0"/>
                        <w:autoSpaceDE/>
                        <w:autoSpaceDN/>
                        <w:bidi w:val="0"/>
                        <w:adjustRightInd/>
                        <w:snapToGrid/>
                        <w:spacing w:line="1000" w:lineRule="exact"/>
                        <w:ind w:left="0"/>
                        <w:jc w:val="right"/>
                        <w:textAlignment w:val="auto"/>
                        <w:rPr>
                          <w:rFonts w:hint="default" w:ascii="微软雅黑" w:hAnsi="微软雅黑" w:eastAsia="微软雅黑" w:cs="微软雅黑"/>
                          <w:color w:val="F4791F"/>
                          <w:lang w:val="en-US" w:eastAsia="zh-CN"/>
                          <w14:textFill>
                            <w14:gradFill>
                              <w14:gsLst>
                                <w14:gs w14:pos="0">
                                  <w14:srgbClr w14:val="005D77"/>
                                </w14:gs>
                                <w14:gs w14:pos="100000">
                                  <w14:srgbClr w14:val="27A8BD"/>
                                </w14:gs>
                              </w14:gsLst>
                              <w14:lin w14:ang="2700000" w14:scaled="0"/>
                            </w14:gradFill>
                          </w14:textFill>
                        </w:rPr>
                      </w:pPr>
                      <w:r>
                        <w:rPr>
                          <w:rFonts w:hint="eastAsia" w:ascii="微软雅黑" w:hAnsi="微软雅黑" w:eastAsia="微软雅黑" w:cs="微软雅黑"/>
                          <w:b/>
                          <w:color w:val="F4791F"/>
                          <w:kern w:val="2"/>
                          <w:sz w:val="96"/>
                          <w:szCs w:val="96"/>
                          <w:lang w:val="en-US" w:eastAsia="zh-CN"/>
                          <w14:textFill>
                            <w14:gradFill>
                              <w14:gsLst>
                                <w14:gs w14:pos="0">
                                  <w14:srgbClr w14:val="005D77"/>
                                </w14:gs>
                                <w14:gs w14:pos="100000">
                                  <w14:srgbClr w14:val="27A8BD"/>
                                </w14:gs>
                              </w14:gsLst>
                              <w14:lin w14:ang="2700000" w14:scaled="0"/>
                            </w14:gradFill>
                          </w14:textFill>
                        </w:rPr>
                        <w:t>海南科技职业大学</w:t>
                      </w:r>
                    </w:p>
                  </w:txbxContent>
                </v:textbox>
              </v:rect>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1555750</wp:posOffset>
                </wp:positionH>
                <wp:positionV relativeFrom="paragraph">
                  <wp:posOffset>6559550</wp:posOffset>
                </wp:positionV>
                <wp:extent cx="3711575" cy="883920"/>
                <wp:effectExtent l="0" t="0" r="0" b="0"/>
                <wp:wrapNone/>
                <wp:docPr id="15" name="矩形 14"/>
                <wp:cNvGraphicFramePr/>
                <a:graphic xmlns:a="http://schemas.openxmlformats.org/drawingml/2006/main">
                  <a:graphicData uri="http://schemas.microsoft.com/office/word/2010/wordprocessingShape">
                    <wps:wsp>
                      <wps:cNvSpPr/>
                      <wps:spPr>
                        <a:xfrm>
                          <a:off x="0" y="0"/>
                          <a:ext cx="3711575" cy="883920"/>
                        </a:xfrm>
                        <a:prstGeom prst="rect">
                          <a:avLst/>
                        </a:prstGeom>
                      </wps:spPr>
                      <wps:txbx>
                        <w:txbxContent>
                          <w:p>
                            <w:pPr>
                              <w:pStyle w:val="19"/>
                              <w:keepNext w:val="0"/>
                              <w:keepLines w:val="0"/>
                              <w:pageBreakBefore w:val="0"/>
                              <w:widowControl w:val="0"/>
                              <w:kinsoku/>
                              <w:wordWrap/>
                              <w:overflowPunct/>
                              <w:topLinePunct w:val="0"/>
                              <w:autoSpaceDE/>
                              <w:autoSpaceDN/>
                              <w:bidi w:val="0"/>
                              <w:adjustRightInd/>
                              <w:snapToGrid/>
                              <w:spacing w:line="600" w:lineRule="exact"/>
                              <w:ind w:left="0"/>
                              <w:jc w:val="right"/>
                              <w:textAlignment w:val="auto"/>
                              <w:rPr>
                                <w:rFonts w:hint="default" w:ascii="微软雅黑" w:hAnsi="微软雅黑" w:eastAsia="微软雅黑" w:cs="微软雅黑"/>
                                <w:b/>
                                <w:bCs/>
                                <w:color w:val="7F7F7F" w:themeColor="background1" w:themeShade="80"/>
                                <w:sz w:val="20"/>
                                <w:szCs w:val="16"/>
                                <w:lang w:val="en-US" w:eastAsia="zh-CN"/>
                              </w:rPr>
                            </w:pPr>
                            <w:r>
                              <w:rPr>
                                <w:rFonts w:hint="eastAsia" w:ascii="微软雅黑" w:hAnsi="微软雅黑" w:eastAsia="微软雅黑" w:cs="微软雅黑"/>
                                <w:b/>
                                <w:bCs/>
                                <w:color w:val="7F7F7F" w:themeColor="background1" w:themeShade="80"/>
                                <w:kern w:val="2"/>
                                <w:sz w:val="44"/>
                                <w:szCs w:val="44"/>
                                <w:lang w:val="en-US" w:eastAsia="zh-CN"/>
                              </w:rPr>
                              <w:t>2022届毕业生就业质量年度报告</w:t>
                            </w:r>
                          </w:p>
                        </w:txbxContent>
                      </wps:txbx>
                      <wps:bodyPr wrap="none">
                        <a:spAutoFit/>
                      </wps:bodyPr>
                    </wps:wsp>
                  </a:graphicData>
                </a:graphic>
              </wp:anchor>
            </w:drawing>
          </mc:Choice>
          <mc:Fallback>
            <w:pict>
              <v:rect id="矩形 14" o:spid="_x0000_s1026" o:spt="1" style="position:absolute;left:0pt;margin-left:122.5pt;margin-top:516.5pt;height:69.6pt;width:292.25pt;mso-wrap-style:none;z-index:251671552;mso-width-relative:page;mso-height-relative:page;" filled="f" stroked="f" coordsize="21600,21600" o:gfxdata="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2+55D9oAAAANAQAADwAA&#10;AAAAAAABACAAAAAiAAAAZHJzL2Rvd25yZXYueG1sUEsBAhQAFAAAAAgAh07iQELjOdaiAQAAOgMA&#10;AA4AAAAAAAAAAQAgAAAAKQEAAGRycy9lMm9Eb2MueG1sUEsFBgAAAAAGAAYAWQEAAD0FAAAAAA==&#10;">
                <v:fill on="f" focussize="0,0"/>
                <v:stroke on="f"/>
                <v:imagedata o:title=""/>
                <o:lock v:ext="edit" aspectratio="f"/>
                <v:textbox style="mso-fit-shape-to-text:t;">
                  <w:txbxContent>
                    <w:p>
                      <w:pPr>
                        <w:pStyle w:val="19"/>
                        <w:keepNext w:val="0"/>
                        <w:keepLines w:val="0"/>
                        <w:pageBreakBefore w:val="0"/>
                        <w:widowControl w:val="0"/>
                        <w:kinsoku/>
                        <w:wordWrap/>
                        <w:overflowPunct/>
                        <w:topLinePunct w:val="0"/>
                        <w:autoSpaceDE/>
                        <w:autoSpaceDN/>
                        <w:bidi w:val="0"/>
                        <w:adjustRightInd/>
                        <w:snapToGrid/>
                        <w:spacing w:line="600" w:lineRule="exact"/>
                        <w:ind w:left="0"/>
                        <w:jc w:val="right"/>
                        <w:textAlignment w:val="auto"/>
                        <w:rPr>
                          <w:rFonts w:hint="default" w:ascii="微软雅黑" w:hAnsi="微软雅黑" w:eastAsia="微软雅黑" w:cs="微软雅黑"/>
                          <w:b/>
                          <w:bCs/>
                          <w:color w:val="7F7F7F" w:themeColor="background1" w:themeShade="80"/>
                          <w:sz w:val="20"/>
                          <w:szCs w:val="16"/>
                          <w:lang w:val="en-US" w:eastAsia="zh-CN"/>
                        </w:rPr>
                      </w:pPr>
                      <w:r>
                        <w:rPr>
                          <w:rFonts w:hint="eastAsia" w:ascii="微软雅黑" w:hAnsi="微软雅黑" w:eastAsia="微软雅黑" w:cs="微软雅黑"/>
                          <w:b/>
                          <w:bCs/>
                          <w:color w:val="7F7F7F" w:themeColor="background1" w:themeShade="80"/>
                          <w:kern w:val="2"/>
                          <w:sz w:val="44"/>
                          <w:szCs w:val="44"/>
                          <w:lang w:val="en-US" w:eastAsia="zh-CN"/>
                        </w:rPr>
                        <w:t>2022届毕业生就业质量年度报告</w:t>
                      </w:r>
                    </w:p>
                  </w:txbxContent>
                </v:textbox>
              </v:rect>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-585470</wp:posOffset>
                </wp:positionH>
                <wp:positionV relativeFrom="paragraph">
                  <wp:posOffset>-194945</wp:posOffset>
                </wp:positionV>
                <wp:extent cx="2506345" cy="1280160"/>
                <wp:effectExtent l="0" t="0" r="0" b="0"/>
                <wp:wrapNone/>
                <wp:docPr id="2" name="矩形 13"/>
                <wp:cNvGraphicFramePr/>
                <a:graphic xmlns:a="http://schemas.openxmlformats.org/drawingml/2006/main">
                  <a:graphicData uri="http://schemas.microsoft.com/office/word/2010/wordprocessingShape">
                    <wps:wsp>
                      <wps:cNvSpPr/>
                      <wps:spPr>
                        <a:xfrm>
                          <a:off x="0" y="0"/>
                          <a:ext cx="2506345" cy="1280160"/>
                        </a:xfrm>
                        <a:prstGeom prst="rect">
                          <a:avLst/>
                        </a:prstGeom>
                      </wps:spPr>
                      <wps:txbx>
                        <w:txbxContent>
                          <w:p>
                            <w:pPr>
                              <w:pStyle w:val="19"/>
                              <w:keepNext w:val="0"/>
                              <w:keepLines w:val="0"/>
                              <w:pageBreakBefore w:val="0"/>
                              <w:widowControl w:val="0"/>
                              <w:kinsoku/>
                              <w:wordWrap/>
                              <w:overflowPunct/>
                              <w:topLinePunct w:val="0"/>
                              <w:autoSpaceDE/>
                              <w:autoSpaceDN/>
                              <w:bidi w:val="0"/>
                              <w:adjustRightInd/>
                              <w:snapToGrid/>
                              <w:spacing w:line="600" w:lineRule="exact"/>
                              <w:ind w:left="0"/>
                              <w:jc w:val="left"/>
                              <w:textAlignment w:val="auto"/>
                              <w:rPr>
                                <w:rFonts w:hint="eastAsia" w:ascii="微软雅黑" w:hAnsi="微软雅黑" w:eastAsia="微软雅黑" w:cs="微软雅黑"/>
                                <w:b/>
                                <w:bCs w:val="0"/>
                                <w:color w:val="FFFFFF" w:themeColor="background1"/>
                                <w:sz w:val="21"/>
                                <w:szCs w:val="21"/>
                                <w:lang w:val="en-US" w:eastAsia="zh-CN"/>
                                <w14:textFill>
                                  <w14:solidFill>
                                    <w14:schemeClr w14:val="bg1"/>
                                  </w14:solidFill>
                                </w14:textFill>
                              </w:rPr>
                            </w:pPr>
                          </w:p>
                        </w:txbxContent>
                      </wps:txbx>
                      <wps:bodyPr wrap="square">
                        <a:spAutoFit/>
                      </wps:bodyPr>
                    </wps:wsp>
                  </a:graphicData>
                </a:graphic>
              </wp:anchor>
            </w:drawing>
          </mc:Choice>
          <mc:Fallback>
            <w:pict>
              <v:rect id="矩形 13" o:spid="_x0000_s1026" o:spt="1" style="position:absolute;left:0pt;margin-left:-46.1pt;margin-top:-15.35pt;height:100.8pt;width:197.35pt;z-index:251674624;mso-width-relative:page;mso-height-relative:page;" filled="f" stroked="f" coordsize="21600,21600" o:gfxdata="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LryC02gAAAAsBAAAP&#10;AAAAAAAAAAEAIAAAACIAAABkcnMvZG93bnJldi54bWxQSwECFAAUAAAACACHTuJAoWSmpqQBAAA8&#10;AwAADgAAAAAAAAABACAAAAApAQAAZHJzL2Uyb0RvYy54bWxQSwUGAAAAAAYABgBZAQAAPwUAAAAA&#10;">
                <v:fill on="f" focussize="0,0"/>
                <v:stroke on="f"/>
                <v:imagedata o:title=""/>
                <o:lock v:ext="edit" aspectratio="f"/>
                <v:textbox style="mso-fit-shape-to-text:t;">
                  <w:txbxContent>
                    <w:p>
                      <w:pPr>
                        <w:pStyle w:val="19"/>
                        <w:keepNext w:val="0"/>
                        <w:keepLines w:val="0"/>
                        <w:pageBreakBefore w:val="0"/>
                        <w:widowControl w:val="0"/>
                        <w:kinsoku/>
                        <w:wordWrap/>
                        <w:overflowPunct/>
                        <w:topLinePunct w:val="0"/>
                        <w:autoSpaceDE/>
                        <w:autoSpaceDN/>
                        <w:bidi w:val="0"/>
                        <w:adjustRightInd/>
                        <w:snapToGrid/>
                        <w:spacing w:line="600" w:lineRule="exact"/>
                        <w:ind w:left="0"/>
                        <w:jc w:val="left"/>
                        <w:textAlignment w:val="auto"/>
                        <w:rPr>
                          <w:rFonts w:hint="eastAsia" w:ascii="微软雅黑" w:hAnsi="微软雅黑" w:eastAsia="微软雅黑" w:cs="微软雅黑"/>
                          <w:b/>
                          <w:bCs w:val="0"/>
                          <w:color w:val="FFFFFF" w:themeColor="background1"/>
                          <w:sz w:val="21"/>
                          <w:szCs w:val="21"/>
                          <w:lang w:val="en-US" w:eastAsia="zh-CN"/>
                          <w14:textFill>
                            <w14:solidFill>
                              <w14:schemeClr w14:val="bg1"/>
                            </w14:solidFill>
                          </w14:textFill>
                        </w:rPr>
                      </w:pPr>
                    </w:p>
                  </w:txbxContent>
                </v:textbox>
              </v:rect>
            </w:pict>
          </mc:Fallback>
        </mc:AlternateContent>
      </w:r>
      <w:r>
        <w:rPr>
          <w:rFonts w:hint="eastAsia" w:eastAsiaTheme="minorEastAsia"/>
          <w:lang w:eastAsia="zh-CN"/>
        </w:rPr>
        <w:drawing>
          <wp:anchor distT="0" distB="0" distL="114300" distR="114300" simplePos="0" relativeHeight="251669504" behindDoc="1" locked="0" layoutInCell="1" allowOverlap="1">
            <wp:simplePos x="0" y="0"/>
            <wp:positionH relativeFrom="column">
              <wp:posOffset>-1143000</wp:posOffset>
            </wp:positionH>
            <wp:positionV relativeFrom="page">
              <wp:posOffset>0</wp:posOffset>
            </wp:positionV>
            <wp:extent cx="8023860" cy="10692130"/>
            <wp:effectExtent l="0" t="0" r="7620" b="6350"/>
            <wp:wrapNone/>
            <wp:docPr id="21" name="图片 21" descr="H:\稻壳儿相关资料\封面-非模\01.jp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H:\稻壳儿相关资料\封面-非模\01.jpg01"/>
                    <pic:cNvPicPr>
                      <a:picLocks noChangeAspect="1"/>
                    </pic:cNvPicPr>
                  </pic:nvPicPr>
                  <pic:blipFill>
                    <a:blip r:embed="rId14"/>
                    <a:srcRect/>
                    <a:stretch>
                      <a:fillRect/>
                    </a:stretch>
                  </pic:blipFill>
                  <pic:spPr>
                    <a:xfrm>
                      <a:off x="0" y="0"/>
                      <a:ext cx="8023860" cy="10692130"/>
                    </a:xfrm>
                    <a:prstGeom prst="rect">
                      <a:avLst/>
                    </a:prstGeom>
                  </pic:spPr>
                </pic:pic>
              </a:graphicData>
            </a:graphic>
          </wp:anchor>
        </w:drawing>
      </w:r>
      <w:r>
        <w:rPr>
          <w:sz w:val="21"/>
        </w:rPr>
        <mc:AlternateContent>
          <mc:Choice Requires="wps">
            <w:drawing>
              <wp:anchor distT="0" distB="0" distL="114300" distR="114300" simplePos="0" relativeHeight="251672576" behindDoc="0" locked="0" layoutInCell="1" allowOverlap="1">
                <wp:simplePos x="0" y="0"/>
                <wp:positionH relativeFrom="column">
                  <wp:posOffset>2967990</wp:posOffset>
                </wp:positionH>
                <wp:positionV relativeFrom="paragraph">
                  <wp:posOffset>4761865</wp:posOffset>
                </wp:positionV>
                <wp:extent cx="3152775" cy="1676400"/>
                <wp:effectExtent l="0" t="0" r="0" b="0"/>
                <wp:wrapNone/>
                <wp:docPr id="16" name="矩形 15"/>
                <wp:cNvGraphicFramePr/>
                <a:graphic xmlns:a="http://schemas.openxmlformats.org/drawingml/2006/main">
                  <a:graphicData uri="http://schemas.microsoft.com/office/word/2010/wordprocessingShape">
                    <wps:wsp>
                      <wps:cNvSpPr/>
                      <wps:spPr>
                        <a:xfrm>
                          <a:off x="0" y="0"/>
                          <a:ext cx="3152775" cy="1676400"/>
                        </a:xfrm>
                        <a:prstGeom prst="rect">
                          <a:avLst/>
                        </a:prstGeom>
                      </wps:spPr>
                      <wps:txbx>
                        <w:txbxContent>
                          <w:p>
                            <w:pPr>
                              <w:rPr>
                                <w:rFonts w:hint="eastAsia"/>
                                <w:lang w:eastAsia="zh-CN"/>
                              </w:rPr>
                            </w:pPr>
                          </w:p>
                        </w:txbxContent>
                      </wps:txbx>
                      <wps:bodyPr wrap="square">
                        <a:spAutoFit/>
                      </wps:bodyPr>
                    </wps:wsp>
                  </a:graphicData>
                </a:graphic>
              </wp:anchor>
            </w:drawing>
          </mc:Choice>
          <mc:Fallback>
            <w:pict>
              <v:rect id="矩形 15" o:spid="_x0000_s1026" o:spt="1" style="position:absolute;left:0pt;margin-left:233.7pt;margin-top:374.95pt;height:132pt;width:248.25pt;z-index:251672576;mso-width-relative:page;mso-height-relative:page;" filled="f" stroked="f" coordsize="21600,21600" o:gfxdata="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E3jEg/bAAAADAEA&#10;AA8AAAAAAAAAAQAgAAAAIgAAAGRycy9kb3ducmV2LnhtbFBLAQIUABQAAAAIAIdO4kBJFvpUpQEA&#10;AD0DAAAOAAAAAAAAAAEAIAAAACoBAABkcnMvZTJvRG9jLnhtbFBLBQYAAAAABgAGAFkBAABBBQAA&#10;AAA=&#10;">
                <v:fill on="f" focussize="0,0"/>
                <v:stroke on="f"/>
                <v:imagedata o:title=""/>
                <o:lock v:ext="edit" aspectratio="f"/>
                <v:textbox style="mso-fit-shape-to-text:t;">
                  <w:txbxContent>
                    <w:p>
                      <w:pPr>
                        <w:rPr>
                          <w:rFonts w:hint="eastAsia"/>
                          <w:lang w:eastAsia="zh-CN"/>
                        </w:rPr>
                      </w:pPr>
                    </w:p>
                  </w:txbxContent>
                </v:textbox>
              </v:rect>
            </w:pict>
          </mc:Fallback>
        </mc:AlternateContent>
      </w:r>
    </w:p>
    <w:p>
      <w:pPr>
        <w:pStyle w:val="7"/>
        <w:spacing w:line="247" w:lineRule="auto"/>
        <w:ind w:left="0" w:leftChars="0" w:firstLine="0" w:firstLineChars="0"/>
        <w:rPr>
          <w:lang w:eastAsia="zh-CN"/>
        </w:rPr>
      </w:pPr>
    </w:p>
    <w:p>
      <w:pPr>
        <w:pStyle w:val="7"/>
        <w:spacing w:line="247" w:lineRule="auto"/>
        <w:rPr>
          <w:lang w:eastAsia="zh-CN"/>
        </w:rPr>
      </w:pPr>
    </w:p>
    <w:sdt>
      <w:sdtPr>
        <w:rPr>
          <w:rFonts w:ascii="宋体" w:hAnsi="宋体" w:eastAsia="宋体"/>
          <w:b/>
          <w:bCs/>
          <w:sz w:val="40"/>
          <w:szCs w:val="40"/>
        </w:rPr>
        <w:id w:val="147453606"/>
        <w15:color w:val="DBDBDB"/>
        <w:docPartObj>
          <w:docPartGallery w:val="Table of Contents"/>
          <w:docPartUnique/>
        </w:docPartObj>
      </w:sdtPr>
      <w:sdtEndPr>
        <w:rPr>
          <w:rFonts w:ascii="宋体" w:hAnsi="宋体" w:eastAsia="宋体"/>
          <w:b/>
          <w:bCs/>
          <w:sz w:val="21"/>
          <w:szCs w:val="21"/>
        </w:rPr>
      </w:sdtEndPr>
      <w:sdtContent>
        <w:p>
          <w:pPr>
            <w:spacing w:line="240" w:lineRule="auto"/>
            <w:ind w:firstLine="0" w:firstLineChars="0"/>
            <w:jc w:val="center"/>
            <w:rPr>
              <w:b/>
              <w:bCs/>
              <w:sz w:val="56"/>
              <w:szCs w:val="40"/>
            </w:rPr>
          </w:pPr>
          <w:r>
            <w:rPr>
              <w:rFonts w:ascii="宋体" w:hAnsi="宋体" w:eastAsia="宋体"/>
              <w:b/>
              <w:bCs/>
              <w:sz w:val="40"/>
              <w:szCs w:val="40"/>
            </w:rPr>
            <w:t>目录</w:t>
          </w:r>
        </w:p>
        <w:p>
          <w:pPr>
            <w:pStyle w:val="13"/>
            <w:tabs>
              <w:tab w:val="right" w:leader="dot" w:pos="9736"/>
            </w:tabs>
            <w:ind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TOC \o "1-3" \h \u </w:instrText>
          </w:r>
          <w:r>
            <w:fldChar w:fldCharType="separate"/>
          </w:r>
          <w:r>
            <w:fldChar w:fldCharType="begin"/>
          </w:r>
          <w:r>
            <w:instrText xml:space="preserve"> HYPERLINK \l "_Toc151887665" </w:instrText>
          </w:r>
          <w:r>
            <w:fldChar w:fldCharType="separate"/>
          </w:r>
          <w:r>
            <w:rPr>
              <w:rStyle w:val="23"/>
              <w:rFonts w:ascii="宋体" w:hAnsi="宋体" w:eastAsia="宋体" w:cs="宋体"/>
              <w:spacing w:val="10"/>
              <w:lang w:eastAsia="zh-CN"/>
              <w14:textOutline w14:w="7975" w14:cap="sq" w14:cmpd="sng" w14:algn="ctr">
                <w14:solidFill>
                  <w14:srgbClr w14:val="000000"/>
                </w14:solidFill>
                <w14:prstDash w14:val="solid"/>
                <w14:bevel/>
              </w14:textOutline>
            </w:rPr>
            <w:t>学校概况</w:t>
          </w:r>
          <w:r>
            <w:tab/>
          </w:r>
          <w:r>
            <w:fldChar w:fldCharType="begin"/>
          </w:r>
          <w:r>
            <w:instrText xml:space="preserve"> PAGEREF _Toc151887665 \h </w:instrText>
          </w:r>
          <w:r>
            <w:fldChar w:fldCharType="separate"/>
          </w:r>
          <w:r>
            <w:t>7</w:t>
          </w:r>
          <w:r>
            <w:fldChar w:fldCharType="end"/>
          </w:r>
          <w:r>
            <w:fldChar w:fldCharType="end"/>
          </w:r>
        </w:p>
        <w:p>
          <w:pPr>
            <w:pStyle w:val="13"/>
            <w:tabs>
              <w:tab w:val="right" w:leader="dot" w:pos="9736"/>
            </w:tabs>
            <w:ind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"_Toc151887666" </w:instrText>
          </w:r>
          <w:r>
            <w:fldChar w:fldCharType="separate"/>
          </w:r>
          <w:r>
            <w:rPr>
              <w:rStyle w:val="23"/>
              <w:rFonts w:ascii="宋体" w:hAnsi="宋体" w:eastAsia="宋体" w:cs="宋体"/>
              <w:spacing w:val="10"/>
              <w:lang w:eastAsia="zh-CN"/>
              <w14:textOutline w14:w="7975" w14:cap="sq" w14:cmpd="sng" w14:algn="ctr">
                <w14:solidFill>
                  <w14:srgbClr w14:val="000000"/>
                </w14:solidFill>
                <w14:prstDash w14:val="solid"/>
                <w14:bevel/>
              </w14:textOutline>
            </w:rPr>
            <w:t>第一部分：毕业生就业基本情况</w:t>
          </w:r>
          <w:r>
            <w:tab/>
          </w:r>
          <w:r>
            <w:fldChar w:fldCharType="begin"/>
          </w:r>
          <w:r>
            <w:instrText xml:space="preserve"> PAGEREF _Toc151887666 \h </w:instrText>
          </w:r>
          <w:r>
            <w:fldChar w:fldCharType="separate"/>
          </w:r>
          <w:r>
            <w:t>15</w:t>
          </w:r>
          <w:r>
            <w:fldChar w:fldCharType="end"/>
          </w:r>
          <w:r>
            <w:fldChar w:fldCharType="end"/>
          </w:r>
        </w:p>
        <w:p>
          <w:pPr>
            <w:pStyle w:val="13"/>
            <w:tabs>
              <w:tab w:val="right" w:leader="dot" w:pos="9736"/>
            </w:tabs>
            <w:ind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"_Toc151887667" </w:instrText>
          </w:r>
          <w:r>
            <w:fldChar w:fldCharType="separate"/>
          </w:r>
          <w:r>
            <w:rPr>
              <w:rStyle w:val="23"/>
              <w:lang w:eastAsia="zh-CN"/>
            </w:rPr>
            <w:t>一、毕业生规模</w:t>
          </w:r>
          <w:r>
            <w:tab/>
          </w:r>
          <w:r>
            <w:fldChar w:fldCharType="begin"/>
          </w:r>
          <w:r>
            <w:instrText xml:space="preserve"> PAGEREF _Toc151887667 \h </w:instrText>
          </w:r>
          <w:r>
            <w:fldChar w:fldCharType="separate"/>
          </w:r>
          <w:r>
            <w:t>15</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"_Toc151887668" </w:instrText>
          </w:r>
          <w:r>
            <w:fldChar w:fldCharType="separate"/>
          </w:r>
          <w:r>
            <w:rPr>
              <w:rStyle w:val="23"/>
              <w:lang w:eastAsia="zh-CN"/>
            </w:rPr>
            <w:t>（一）毕业生总人数</w:t>
          </w:r>
          <w:r>
            <w:tab/>
          </w:r>
          <w:r>
            <w:fldChar w:fldCharType="begin"/>
          </w:r>
          <w:r>
            <w:instrText xml:space="preserve"> PAGEREF _Toc151887668 \h </w:instrText>
          </w:r>
          <w:r>
            <w:fldChar w:fldCharType="separate"/>
          </w:r>
          <w:r>
            <w:t>15</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"_Toc151887669" </w:instrText>
          </w:r>
          <w:r>
            <w:fldChar w:fldCharType="separate"/>
          </w:r>
          <w:r>
            <w:rPr>
              <w:rStyle w:val="23"/>
              <w:rFonts w:ascii="Arial" w:hAnsi="Arial"/>
              <w:lang w:eastAsia="zh-CN"/>
            </w:rPr>
            <w:t>（二）毕业生性别分布</w:t>
          </w:r>
          <w:r>
            <w:tab/>
          </w:r>
          <w:r>
            <w:fldChar w:fldCharType="begin"/>
          </w:r>
          <w:r>
            <w:instrText xml:space="preserve"> PAGEREF _Toc151887669 \h </w:instrText>
          </w:r>
          <w:r>
            <w:fldChar w:fldCharType="separate"/>
          </w:r>
          <w:r>
            <w:t>15</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"_Toc151887670" </w:instrText>
          </w:r>
          <w:r>
            <w:fldChar w:fldCharType="separate"/>
          </w:r>
          <w:r>
            <w:rPr>
              <w:rStyle w:val="23"/>
              <w:lang w:eastAsia="zh-CN"/>
            </w:rPr>
            <w:t>（三） 毕业生生源结构</w:t>
          </w:r>
          <w:r>
            <w:tab/>
          </w:r>
          <w:r>
            <w:fldChar w:fldCharType="begin"/>
          </w:r>
          <w:r>
            <w:instrText xml:space="preserve"> PAGEREF _Toc151887670 \h </w:instrText>
          </w:r>
          <w:r>
            <w:fldChar w:fldCharType="separate"/>
          </w:r>
          <w:r>
            <w:t>16</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"_Toc151887671" </w:instrText>
          </w:r>
          <w:r>
            <w:fldChar w:fldCharType="separate"/>
          </w:r>
          <w:r>
            <w:rPr>
              <w:rStyle w:val="23"/>
              <w:lang w:eastAsia="zh-CN"/>
            </w:rPr>
            <w:t>（四）毕业生省内生源结构</w:t>
          </w:r>
          <w:r>
            <w:tab/>
          </w:r>
          <w:r>
            <w:fldChar w:fldCharType="begin"/>
          </w:r>
          <w:r>
            <w:instrText xml:space="preserve"> PAGEREF _Toc151887671 \h </w:instrText>
          </w:r>
          <w:r>
            <w:fldChar w:fldCharType="separate"/>
          </w:r>
          <w:r>
            <w:t>17</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"_Toc151887672" </w:instrText>
          </w:r>
          <w:r>
            <w:fldChar w:fldCharType="separate"/>
          </w:r>
          <w:r>
            <w:rPr>
              <w:rStyle w:val="23"/>
              <w:lang w:eastAsia="zh-CN"/>
            </w:rPr>
            <w:t>（五）毕业生专业分布情况</w:t>
          </w:r>
          <w:r>
            <w:tab/>
          </w:r>
          <w:r>
            <w:fldChar w:fldCharType="begin"/>
          </w:r>
          <w:r>
            <w:instrText xml:space="preserve"> PAGEREF _Toc151887672 \h </w:instrText>
          </w:r>
          <w:r>
            <w:fldChar w:fldCharType="separate"/>
          </w:r>
          <w:r>
            <w:t>18</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"_Toc151887673" </w:instrText>
          </w:r>
          <w:r>
            <w:fldChar w:fldCharType="separate"/>
          </w:r>
          <w:r>
            <w:rPr>
              <w:rStyle w:val="23"/>
              <w:lang w:eastAsia="zh-CN"/>
            </w:rPr>
            <w:t>（六）毕业生特殊群体分布情况</w:t>
          </w:r>
          <w:r>
            <w:tab/>
          </w:r>
          <w:r>
            <w:fldChar w:fldCharType="begin"/>
          </w:r>
          <w:r>
            <w:instrText xml:space="preserve"> PAGEREF _Toc151887673 \h </w:instrText>
          </w:r>
          <w:r>
            <w:fldChar w:fldCharType="separate"/>
          </w:r>
          <w:r>
            <w:t>21</w:t>
          </w:r>
          <w:r>
            <w:fldChar w:fldCharType="end"/>
          </w:r>
          <w:r>
            <w:fldChar w:fldCharType="end"/>
          </w:r>
        </w:p>
        <w:p>
          <w:pPr>
            <w:pStyle w:val="13"/>
            <w:tabs>
              <w:tab w:val="right" w:leader="dot" w:pos="9736"/>
            </w:tabs>
            <w:ind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"_Toc151887674" </w:instrText>
          </w:r>
          <w:r>
            <w:fldChar w:fldCharType="separate"/>
          </w:r>
          <w:r>
            <w:rPr>
              <w:rStyle w:val="23"/>
              <w:lang w:eastAsia="zh-CN"/>
            </w:rPr>
            <w:t>二、毕业去向落实率及去向</w:t>
          </w:r>
          <w:r>
            <w:tab/>
          </w:r>
          <w:r>
            <w:fldChar w:fldCharType="begin"/>
          </w:r>
          <w:r>
            <w:instrText xml:space="preserve"> PAGEREF _Toc151887674 \h </w:instrText>
          </w:r>
          <w:r>
            <w:fldChar w:fldCharType="separate"/>
          </w:r>
          <w:r>
            <w:t>23</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"_Toc151887675" </w:instrText>
          </w:r>
          <w:r>
            <w:fldChar w:fldCharType="separate"/>
          </w:r>
          <w:r>
            <w:rPr>
              <w:rStyle w:val="23"/>
              <w:lang w:eastAsia="zh-CN"/>
            </w:rPr>
            <w:t>（一）毕业生就业率</w:t>
          </w:r>
          <w:r>
            <w:tab/>
          </w:r>
          <w:r>
            <w:fldChar w:fldCharType="begin"/>
          </w:r>
          <w:r>
            <w:instrText xml:space="preserve"> PAGEREF _Toc151887675 \h </w:instrText>
          </w:r>
          <w:r>
            <w:fldChar w:fldCharType="separate"/>
          </w:r>
          <w:r>
            <w:t>23</w:t>
          </w:r>
          <w:r>
            <w:fldChar w:fldCharType="end"/>
          </w:r>
          <w:r>
            <w:fldChar w:fldCharType="end"/>
          </w:r>
        </w:p>
        <w:p>
          <w:pPr>
            <w:pStyle w:val="13"/>
            <w:tabs>
              <w:tab w:val="right" w:leader="dot" w:pos="9736"/>
            </w:tabs>
            <w:ind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"_Toc151887676" </w:instrText>
          </w:r>
          <w:r>
            <w:fldChar w:fldCharType="separate"/>
          </w:r>
          <w:r>
            <w:rPr>
              <w:rStyle w:val="23"/>
              <w:lang w:eastAsia="zh-CN"/>
            </w:rPr>
            <w:t>三、毕业生就业流向</w:t>
          </w:r>
          <w:r>
            <w:tab/>
          </w:r>
          <w:r>
            <w:fldChar w:fldCharType="begin"/>
          </w:r>
          <w:r>
            <w:instrText xml:space="preserve"> PAGEREF _Toc151887676 \h </w:instrText>
          </w:r>
          <w:r>
            <w:fldChar w:fldCharType="separate"/>
          </w:r>
          <w:r>
            <w:t>25</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"_Toc151887677" </w:instrText>
          </w:r>
          <w:r>
            <w:fldChar w:fldCharType="separate"/>
          </w:r>
          <w:r>
            <w:rPr>
              <w:rStyle w:val="23"/>
              <w:lang w:eastAsia="zh-CN"/>
            </w:rPr>
            <w:t>（一）毕业生升学应征入伍情况</w:t>
          </w:r>
          <w:r>
            <w:tab/>
          </w:r>
          <w:r>
            <w:fldChar w:fldCharType="begin"/>
          </w:r>
          <w:r>
            <w:instrText xml:space="preserve"> PAGEREF _Toc151887677 \h </w:instrText>
          </w:r>
          <w:r>
            <w:fldChar w:fldCharType="separate"/>
          </w:r>
          <w:r>
            <w:t>25</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"_Toc151887678" </w:instrText>
          </w:r>
          <w:r>
            <w:fldChar w:fldCharType="separate"/>
          </w:r>
          <w:r>
            <w:rPr>
              <w:rStyle w:val="23"/>
              <w:lang w:eastAsia="zh-CN"/>
            </w:rPr>
            <w:t>（二）毕业生就业地区分布</w:t>
          </w:r>
          <w:r>
            <w:tab/>
          </w:r>
          <w:r>
            <w:fldChar w:fldCharType="begin"/>
          </w:r>
          <w:r>
            <w:instrText xml:space="preserve"> PAGEREF _Toc151887678 \h </w:instrText>
          </w:r>
          <w:r>
            <w:fldChar w:fldCharType="separate"/>
          </w:r>
          <w:r>
            <w:t>25</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"_Toc151887679" </w:instrText>
          </w:r>
          <w:r>
            <w:fldChar w:fldCharType="separate"/>
          </w:r>
          <w:r>
            <w:rPr>
              <w:rStyle w:val="23"/>
              <w:lang w:eastAsia="zh-CN"/>
            </w:rPr>
            <w:t>（三）毕业生单位性质分布</w:t>
          </w:r>
          <w:r>
            <w:tab/>
          </w:r>
          <w:r>
            <w:fldChar w:fldCharType="begin"/>
          </w:r>
          <w:r>
            <w:instrText xml:space="preserve"> PAGEREF _Toc151887679 \h </w:instrText>
          </w:r>
          <w:r>
            <w:fldChar w:fldCharType="separate"/>
          </w:r>
          <w:r>
            <w:t>25</w:t>
          </w:r>
          <w:r>
            <w:fldChar w:fldCharType="end"/>
          </w:r>
          <w:r>
            <w:fldChar w:fldCharType="end"/>
          </w:r>
        </w:p>
        <w:p>
          <w:pPr>
            <w:pStyle w:val="13"/>
            <w:tabs>
              <w:tab w:val="right" w:leader="dot" w:pos="9736"/>
            </w:tabs>
            <w:ind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"_Toc151887680" </w:instrText>
          </w:r>
          <w:r>
            <w:fldChar w:fldCharType="separate"/>
          </w:r>
          <w:r>
            <w:rPr>
              <w:rStyle w:val="23"/>
              <w:rFonts w:ascii="宋体" w:hAnsi="宋体" w:eastAsia="宋体" w:cs="宋体"/>
              <w:spacing w:val="10"/>
              <w:lang w:eastAsia="zh-CN"/>
              <w14:textOutline w14:w="7975" w14:cap="sq" w14:cmpd="sng" w14:algn="ctr">
                <w14:solidFill>
                  <w14:srgbClr w14:val="000000"/>
                </w14:solidFill>
                <w14:prstDash w14:val="solid"/>
                <w14:bevel/>
              </w14:textOutline>
            </w:rPr>
            <w:t>第二部分：2022年就业工作主要特点</w:t>
          </w:r>
          <w:r>
            <w:tab/>
          </w:r>
          <w:r>
            <w:fldChar w:fldCharType="begin"/>
          </w:r>
          <w:r>
            <w:instrText xml:space="preserve"> PAGEREF _Toc151887680 \h </w:instrText>
          </w:r>
          <w:r>
            <w:fldChar w:fldCharType="separate"/>
          </w:r>
          <w:r>
            <w:t>26</w:t>
          </w:r>
          <w:r>
            <w:fldChar w:fldCharType="end"/>
          </w:r>
          <w:r>
            <w:fldChar w:fldCharType="end"/>
          </w:r>
        </w:p>
        <w:p>
          <w:pPr>
            <w:pStyle w:val="13"/>
            <w:tabs>
              <w:tab w:val="right" w:leader="dot" w:pos="9736"/>
            </w:tabs>
            <w:ind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"_Toc151887681" </w:instrText>
          </w:r>
          <w:r>
            <w:fldChar w:fldCharType="separate"/>
          </w:r>
          <w:r>
            <w:rPr>
              <w:rStyle w:val="23"/>
              <w:lang w:eastAsia="zh-CN"/>
            </w:rPr>
            <w:t>一、学校促进毕业生就业的政策措施</w:t>
          </w:r>
          <w:r>
            <w:tab/>
          </w:r>
          <w:r>
            <w:fldChar w:fldCharType="begin"/>
          </w:r>
          <w:r>
            <w:instrText xml:space="preserve"> PAGEREF _Toc151887681 \h </w:instrText>
          </w:r>
          <w:r>
            <w:fldChar w:fldCharType="separate"/>
          </w:r>
          <w:r>
            <w:t>26</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"_Toc151887682" </w:instrText>
          </w:r>
          <w:r>
            <w:fldChar w:fldCharType="separate"/>
          </w:r>
          <w:r>
            <w:rPr>
              <w:rStyle w:val="23"/>
              <w:lang w:eastAsia="zh-CN"/>
            </w:rPr>
            <w:t>（一）领导重视，工作责任落实到位</w:t>
          </w:r>
          <w:r>
            <w:tab/>
          </w:r>
          <w:r>
            <w:fldChar w:fldCharType="begin"/>
          </w:r>
          <w:r>
            <w:instrText xml:space="preserve"> PAGEREF _Toc151887682 \h </w:instrText>
          </w:r>
          <w:r>
            <w:fldChar w:fldCharType="separate"/>
          </w:r>
          <w:r>
            <w:t>26</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"_Toc151887683" </w:instrText>
          </w:r>
          <w:r>
            <w:fldChar w:fldCharType="separate"/>
          </w:r>
          <w:r>
            <w:rPr>
              <w:rStyle w:val="23"/>
              <w:lang w:eastAsia="zh-CN"/>
            </w:rPr>
            <w:t>（二）多渠道拓宽毕业生就业渠道</w:t>
          </w:r>
          <w:r>
            <w:tab/>
          </w:r>
          <w:r>
            <w:fldChar w:fldCharType="begin"/>
          </w:r>
          <w:r>
            <w:instrText xml:space="preserve"> PAGEREF _Toc151887683 \h </w:instrText>
          </w:r>
          <w:r>
            <w:fldChar w:fldCharType="separate"/>
          </w:r>
          <w:r>
            <w:t>26</w:t>
          </w:r>
          <w:r>
            <w:fldChar w:fldCharType="end"/>
          </w:r>
          <w:r>
            <w:fldChar w:fldCharType="end"/>
          </w:r>
        </w:p>
        <w:p>
          <w:pPr>
            <w:pStyle w:val="9"/>
            <w:tabs>
              <w:tab w:val="right" w:leader="dot" w:pos="9736"/>
            </w:tabs>
            <w:ind w:left="128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"_Toc151887684" </w:instrText>
          </w:r>
          <w:r>
            <w:fldChar w:fldCharType="separate"/>
          </w:r>
          <w:r>
            <w:rPr>
              <w:rStyle w:val="23"/>
              <w:b/>
              <w:bCs/>
              <w:lang w:eastAsia="zh-CN"/>
            </w:rPr>
            <w:t>1.海南自由贸易港招才引智系列活动暨2022届毕业生春季校园招聘会</w:t>
          </w:r>
          <w:r>
            <w:tab/>
          </w:r>
          <w:r>
            <w:fldChar w:fldCharType="begin"/>
          </w:r>
          <w:r>
            <w:instrText xml:space="preserve"> PAGEREF _Toc151887684 \h </w:instrText>
          </w:r>
          <w:r>
            <w:fldChar w:fldCharType="separate"/>
          </w:r>
          <w:r>
            <w:t>26</w:t>
          </w:r>
          <w:r>
            <w:fldChar w:fldCharType="end"/>
          </w:r>
          <w:r>
            <w:fldChar w:fldCharType="end"/>
          </w:r>
        </w:p>
        <w:p>
          <w:pPr>
            <w:pStyle w:val="9"/>
            <w:tabs>
              <w:tab w:val="right" w:leader="dot" w:pos="9736"/>
            </w:tabs>
            <w:ind w:left="128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"_Toc151887685" </w:instrText>
          </w:r>
          <w:r>
            <w:fldChar w:fldCharType="separate"/>
          </w:r>
          <w:r>
            <w:rPr>
              <w:rStyle w:val="23"/>
              <w:b/>
              <w:bCs/>
              <w:lang w:eastAsia="zh-CN"/>
            </w:rPr>
            <w:t>2.开展访企拓岗促就业专项行动</w:t>
          </w:r>
          <w:r>
            <w:tab/>
          </w:r>
          <w:r>
            <w:fldChar w:fldCharType="begin"/>
          </w:r>
          <w:r>
            <w:instrText xml:space="preserve"> PAGEREF _Toc151887685 \h </w:instrText>
          </w:r>
          <w:r>
            <w:fldChar w:fldCharType="separate"/>
          </w:r>
          <w:r>
            <w:t>27</w:t>
          </w:r>
          <w:r>
            <w:fldChar w:fldCharType="end"/>
          </w:r>
          <w:r>
            <w:fldChar w:fldCharType="end"/>
          </w:r>
        </w:p>
        <w:p>
          <w:pPr>
            <w:pStyle w:val="9"/>
            <w:tabs>
              <w:tab w:val="right" w:leader="dot" w:pos="9736"/>
            </w:tabs>
            <w:ind w:left="128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"_Toc151887686" </w:instrText>
          </w:r>
          <w:r>
            <w:fldChar w:fldCharType="separate"/>
          </w:r>
          <w:r>
            <w:rPr>
              <w:rStyle w:val="23"/>
              <w:b/>
              <w:bCs/>
              <w:lang w:eastAsia="zh-CN"/>
            </w:rPr>
            <w:t>3.开展就业促进周和“百日冲刺”系列活动</w:t>
          </w:r>
          <w:r>
            <w:tab/>
          </w:r>
          <w:r>
            <w:fldChar w:fldCharType="begin"/>
          </w:r>
          <w:r>
            <w:instrText xml:space="preserve"> PAGEREF _Toc151887686 \h </w:instrText>
          </w:r>
          <w:r>
            <w:fldChar w:fldCharType="separate"/>
          </w:r>
          <w:r>
            <w:t>27</w:t>
          </w:r>
          <w:r>
            <w:fldChar w:fldCharType="end"/>
          </w:r>
          <w:r>
            <w:fldChar w:fldCharType="end"/>
          </w:r>
        </w:p>
        <w:p>
          <w:pPr>
            <w:pStyle w:val="9"/>
            <w:tabs>
              <w:tab w:val="right" w:leader="dot" w:pos="9736"/>
            </w:tabs>
            <w:ind w:left="128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"_Toc151887687" </w:instrText>
          </w:r>
          <w:r>
            <w:fldChar w:fldCharType="separate"/>
          </w:r>
          <w:r>
            <w:rPr>
              <w:rStyle w:val="23"/>
              <w:b/>
              <w:bCs/>
              <w:lang w:eastAsia="zh-CN"/>
            </w:rPr>
            <w:t>4.开展2022届毕业生促进周活动暨网络招聘会</w:t>
          </w:r>
          <w:r>
            <w:tab/>
          </w:r>
          <w:r>
            <w:fldChar w:fldCharType="begin"/>
          </w:r>
          <w:r>
            <w:instrText xml:space="preserve"> PAGEREF _Toc151887687 \h </w:instrText>
          </w:r>
          <w:r>
            <w:fldChar w:fldCharType="separate"/>
          </w:r>
          <w:r>
            <w:t>28</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"_Toc151887688" </w:instrText>
          </w:r>
          <w:r>
            <w:fldChar w:fldCharType="separate"/>
          </w:r>
          <w:r>
            <w:rPr>
              <w:rStyle w:val="23"/>
              <w:lang w:eastAsia="zh-CN"/>
            </w:rPr>
            <w:t>（三）深入加强创新创业开展和自主创业工作的扶持</w:t>
          </w:r>
          <w:r>
            <w:tab/>
          </w:r>
          <w:r>
            <w:fldChar w:fldCharType="begin"/>
          </w:r>
          <w:r>
            <w:instrText xml:space="preserve"> PAGEREF _Toc151887688 \h </w:instrText>
          </w:r>
          <w:r>
            <w:fldChar w:fldCharType="separate"/>
          </w:r>
          <w:r>
            <w:t>28</w:t>
          </w:r>
          <w:r>
            <w:fldChar w:fldCharType="end"/>
          </w:r>
          <w:r>
            <w:fldChar w:fldCharType="end"/>
          </w:r>
        </w:p>
        <w:p>
          <w:pPr>
            <w:pStyle w:val="9"/>
            <w:tabs>
              <w:tab w:val="right" w:leader="dot" w:pos="9736"/>
            </w:tabs>
            <w:ind w:left="128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"_Toc151887689" </w:instrText>
          </w:r>
          <w:r>
            <w:fldChar w:fldCharType="separate"/>
          </w:r>
          <w:r>
            <w:rPr>
              <w:rStyle w:val="23"/>
              <w:b/>
              <w:bCs/>
              <w:lang w:eastAsia="zh-CN"/>
            </w:rPr>
            <w:t>1.学校人才培养方案</w:t>
          </w:r>
          <w:r>
            <w:tab/>
          </w:r>
          <w:r>
            <w:fldChar w:fldCharType="begin"/>
          </w:r>
          <w:r>
            <w:instrText xml:space="preserve"> PAGEREF _Toc151887689 \h </w:instrText>
          </w:r>
          <w:r>
            <w:fldChar w:fldCharType="separate"/>
          </w:r>
          <w:r>
            <w:t>28</w:t>
          </w:r>
          <w:r>
            <w:fldChar w:fldCharType="end"/>
          </w:r>
          <w:r>
            <w:fldChar w:fldCharType="end"/>
          </w:r>
        </w:p>
        <w:p>
          <w:pPr>
            <w:pStyle w:val="9"/>
            <w:tabs>
              <w:tab w:val="right" w:leader="dot" w:pos="9736"/>
            </w:tabs>
            <w:ind w:left="128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"_Toc151887690" </w:instrText>
          </w:r>
          <w:r>
            <w:fldChar w:fldCharType="separate"/>
          </w:r>
          <w:r>
            <w:rPr>
              <w:rStyle w:val="23"/>
              <w:b/>
              <w:bCs/>
              <w:lang w:eastAsia="zh-CN"/>
            </w:rPr>
            <w:t>2.创新创业课程</w:t>
          </w:r>
          <w:r>
            <w:tab/>
          </w:r>
          <w:r>
            <w:fldChar w:fldCharType="begin"/>
          </w:r>
          <w:r>
            <w:instrText xml:space="preserve"> PAGEREF _Toc151887690 \h </w:instrText>
          </w:r>
          <w:r>
            <w:fldChar w:fldCharType="separate"/>
          </w:r>
          <w:r>
            <w:t>29</w:t>
          </w:r>
          <w:r>
            <w:fldChar w:fldCharType="end"/>
          </w:r>
          <w:r>
            <w:fldChar w:fldCharType="end"/>
          </w:r>
        </w:p>
        <w:p>
          <w:pPr>
            <w:pStyle w:val="9"/>
            <w:tabs>
              <w:tab w:val="right" w:leader="dot" w:pos="9736"/>
            </w:tabs>
            <w:ind w:left="128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"_Toc151887691" </w:instrText>
          </w:r>
          <w:r>
            <w:fldChar w:fldCharType="separate"/>
          </w:r>
          <w:r>
            <w:rPr>
              <w:rStyle w:val="23"/>
              <w:b/>
              <w:bCs/>
              <w:lang w:eastAsia="zh-CN"/>
            </w:rPr>
            <w:t>3.创新创业</w:t>
          </w:r>
          <w:r>
            <w:rPr>
              <w:rStyle w:val="23"/>
              <w:b/>
              <w:bCs/>
              <w:lang w:val="zh-CN" w:eastAsia="zh-CN"/>
            </w:rPr>
            <w:t>实践平台建设</w:t>
          </w:r>
          <w:r>
            <w:tab/>
          </w:r>
          <w:r>
            <w:fldChar w:fldCharType="begin"/>
          </w:r>
          <w:r>
            <w:instrText xml:space="preserve"> PAGEREF _Toc151887691 \h </w:instrText>
          </w:r>
          <w:r>
            <w:fldChar w:fldCharType="separate"/>
          </w:r>
          <w:r>
            <w:t>29</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"_Toc151887692" </w:instrText>
          </w:r>
          <w:r>
            <w:fldChar w:fldCharType="separate"/>
          </w:r>
          <w:r>
            <w:rPr>
              <w:rStyle w:val="23"/>
              <w:lang w:eastAsia="zh-CN"/>
            </w:rPr>
            <w:t>（四）进一步提升就业指导服务</w:t>
          </w:r>
          <w:r>
            <w:tab/>
          </w:r>
          <w:r>
            <w:fldChar w:fldCharType="begin"/>
          </w:r>
          <w:r>
            <w:instrText xml:space="preserve"> PAGEREF _Toc151887692 \h </w:instrText>
          </w:r>
          <w:r>
            <w:fldChar w:fldCharType="separate"/>
          </w:r>
          <w:r>
            <w:t>32</w:t>
          </w:r>
          <w:r>
            <w:fldChar w:fldCharType="end"/>
          </w:r>
          <w:r>
            <w:fldChar w:fldCharType="end"/>
          </w:r>
        </w:p>
        <w:p>
          <w:pPr>
            <w:pStyle w:val="13"/>
            <w:tabs>
              <w:tab w:val="right" w:leader="dot" w:pos="9736"/>
            </w:tabs>
            <w:ind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"_Toc151887693" </w:instrText>
          </w:r>
          <w:r>
            <w:fldChar w:fldCharType="separate"/>
          </w:r>
          <w:r>
            <w:rPr>
              <w:rStyle w:val="23"/>
              <w:rFonts w:ascii="宋体" w:hAnsi="宋体" w:eastAsia="宋体" w:cs="宋体"/>
              <w:spacing w:val="10"/>
              <w:lang w:eastAsia="zh-CN"/>
              <w14:textOutline w14:w="7975" w14:cap="sq" w14:cmpd="sng" w14:algn="ctr">
                <w14:solidFill>
                  <w14:srgbClr w14:val="000000"/>
                </w14:solidFill>
                <w14:prstDash w14:val="solid"/>
                <w14:bevel/>
              </w14:textOutline>
            </w:rPr>
            <w:t>第三部分：本科毕业生就业相关分析</w:t>
          </w:r>
          <w:r>
            <w:tab/>
          </w:r>
          <w:r>
            <w:fldChar w:fldCharType="begin"/>
          </w:r>
          <w:r>
            <w:instrText xml:space="preserve"> PAGEREF _Toc151887693 \h </w:instrText>
          </w:r>
          <w:r>
            <w:fldChar w:fldCharType="separate"/>
          </w:r>
          <w:r>
            <w:t>33</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"_Toc151887694" </w:instrText>
          </w:r>
          <w:r>
            <w:fldChar w:fldCharType="separate"/>
          </w:r>
          <w:r>
            <w:rPr>
              <w:rStyle w:val="23"/>
              <w:rFonts w:eastAsia="黑体"/>
              <w:b/>
              <w:bCs/>
              <w:lang w:eastAsia="zh-CN"/>
            </w:rPr>
            <w:t>第一章：就业竞争力分析</w:t>
          </w:r>
          <w:r>
            <w:tab/>
          </w:r>
          <w:r>
            <w:fldChar w:fldCharType="begin"/>
          </w:r>
          <w:r>
            <w:instrText xml:space="preserve"> PAGEREF _Toc151887694 \h </w:instrText>
          </w:r>
          <w:r>
            <w:fldChar w:fldCharType="separate"/>
          </w:r>
          <w:r>
            <w:t>33</w:t>
          </w:r>
          <w:r>
            <w:fldChar w:fldCharType="end"/>
          </w:r>
          <w:r>
            <w:fldChar w:fldCharType="end"/>
          </w:r>
        </w:p>
        <w:p>
          <w:pPr>
            <w:pStyle w:val="13"/>
            <w:tabs>
              <w:tab w:val="right" w:leader="dot" w:pos="9736"/>
            </w:tabs>
            <w:ind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"_Toc151887695" </w:instrText>
          </w:r>
          <w:r>
            <w:fldChar w:fldCharType="separate"/>
          </w:r>
          <w:r>
            <w:rPr>
              <w:rStyle w:val="23"/>
              <w:lang w:eastAsia="zh-CN"/>
            </w:rPr>
            <w:t>一、本科毕业去向落实率</w:t>
          </w:r>
          <w:r>
            <w:tab/>
          </w:r>
          <w:r>
            <w:fldChar w:fldCharType="begin"/>
          </w:r>
          <w:r>
            <w:instrText xml:space="preserve"> PAGEREF _Toc151887695 \h </w:instrText>
          </w:r>
          <w:r>
            <w:fldChar w:fldCharType="separate"/>
          </w:r>
          <w:r>
            <w:t>33</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"_Toc151887696" </w:instrText>
          </w:r>
          <w:r>
            <w:fldChar w:fldCharType="separate"/>
          </w:r>
          <w:r>
            <w:rPr>
              <w:rStyle w:val="23"/>
              <w:lang w:val="zh-CN" w:eastAsia="zh-CN"/>
            </w:rPr>
            <w:t>（一）各学院毕业去向落实率</w:t>
          </w:r>
          <w:r>
            <w:tab/>
          </w:r>
          <w:r>
            <w:fldChar w:fldCharType="begin"/>
          </w:r>
          <w:r>
            <w:instrText xml:space="preserve"> PAGEREF _Toc151887696 \h </w:instrText>
          </w:r>
          <w:r>
            <w:fldChar w:fldCharType="separate"/>
          </w:r>
          <w:r>
            <w:t>33</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"_Toc151887697" </w:instrText>
          </w:r>
          <w:r>
            <w:fldChar w:fldCharType="separate"/>
          </w:r>
          <w:r>
            <w:rPr>
              <w:rStyle w:val="23"/>
              <w:lang w:val="zh-CN" w:eastAsia="zh-CN"/>
            </w:rPr>
            <w:t>（二）各专业毕业去向落实率</w:t>
          </w:r>
          <w:r>
            <w:tab/>
          </w:r>
          <w:r>
            <w:fldChar w:fldCharType="begin"/>
          </w:r>
          <w:r>
            <w:instrText xml:space="preserve"> PAGEREF _Toc151887697 \h </w:instrText>
          </w:r>
          <w:r>
            <w:fldChar w:fldCharType="separate"/>
          </w:r>
          <w:r>
            <w:t>34</w:t>
          </w:r>
          <w:r>
            <w:fldChar w:fldCharType="end"/>
          </w:r>
          <w:r>
            <w:fldChar w:fldCharType="end"/>
          </w:r>
        </w:p>
        <w:p>
          <w:pPr>
            <w:pStyle w:val="13"/>
            <w:tabs>
              <w:tab w:val="right" w:leader="dot" w:pos="9736"/>
            </w:tabs>
            <w:ind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"_Toc151887698" </w:instrText>
          </w:r>
          <w:r>
            <w:fldChar w:fldCharType="separate"/>
          </w:r>
          <w:r>
            <w:rPr>
              <w:rStyle w:val="23"/>
              <w:lang w:eastAsia="zh-CN"/>
            </w:rPr>
            <w:t>二、毕业去向</w:t>
          </w:r>
          <w:r>
            <w:tab/>
          </w:r>
          <w:r>
            <w:fldChar w:fldCharType="begin"/>
          </w:r>
          <w:r>
            <w:instrText xml:space="preserve"> PAGEREF _Toc151887698 \h </w:instrText>
          </w:r>
          <w:r>
            <w:fldChar w:fldCharType="separate"/>
          </w:r>
          <w:r>
            <w:t>35</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"_Toc151887699" </w:instrText>
          </w:r>
          <w:r>
            <w:fldChar w:fldCharType="separate"/>
          </w:r>
          <w:r>
            <w:rPr>
              <w:rStyle w:val="23"/>
              <w:lang w:val="zh-CN" w:eastAsia="zh-CN"/>
            </w:rPr>
            <w:t>（一）各学院毕业去向分布</w:t>
          </w:r>
          <w:r>
            <w:tab/>
          </w:r>
          <w:r>
            <w:fldChar w:fldCharType="begin"/>
          </w:r>
          <w:r>
            <w:instrText xml:space="preserve"> PAGEREF _Toc151887699 \h </w:instrText>
          </w:r>
          <w:r>
            <w:fldChar w:fldCharType="separate"/>
          </w:r>
          <w:r>
            <w:t>35</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"_Toc151887700" </w:instrText>
          </w:r>
          <w:r>
            <w:fldChar w:fldCharType="separate"/>
          </w:r>
          <w:r>
            <w:rPr>
              <w:rStyle w:val="23"/>
              <w:lang w:val="zh-CN" w:eastAsia="zh-CN"/>
            </w:rPr>
            <w:t>（二）各专业毕业去向分布</w:t>
          </w:r>
          <w:r>
            <w:tab/>
          </w:r>
          <w:r>
            <w:fldChar w:fldCharType="begin"/>
          </w:r>
          <w:r>
            <w:instrText xml:space="preserve"> PAGEREF _Toc151887700 \h </w:instrText>
          </w:r>
          <w:r>
            <w:fldChar w:fldCharType="separate"/>
          </w:r>
          <w:r>
            <w:t>36</w:t>
          </w:r>
          <w:r>
            <w:fldChar w:fldCharType="end"/>
          </w:r>
          <w:r>
            <w:fldChar w:fldCharType="end"/>
          </w:r>
        </w:p>
        <w:p>
          <w:pPr>
            <w:pStyle w:val="13"/>
            <w:tabs>
              <w:tab w:val="right" w:leader="dot" w:pos="9736"/>
            </w:tabs>
            <w:ind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"_Toc151887701" </w:instrText>
          </w:r>
          <w:r>
            <w:fldChar w:fldCharType="separate"/>
          </w:r>
          <w:r>
            <w:rPr>
              <w:rStyle w:val="23"/>
              <w:lang w:eastAsia="zh-CN"/>
            </w:rPr>
            <w:t>三、就业机会充分度</w:t>
          </w:r>
          <w:r>
            <w:tab/>
          </w:r>
          <w:r>
            <w:fldChar w:fldCharType="begin"/>
          </w:r>
          <w:r>
            <w:instrText xml:space="preserve"> PAGEREF _Toc151887701 \h </w:instrText>
          </w:r>
          <w:r>
            <w:fldChar w:fldCharType="separate"/>
          </w:r>
          <w:r>
            <w:t>36</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"_Toc151887702" </w:instrText>
          </w:r>
          <w:r>
            <w:fldChar w:fldCharType="separate"/>
          </w:r>
          <w:r>
            <w:rPr>
              <w:rStyle w:val="23"/>
              <w:lang w:val="zh-CN" w:eastAsia="zh-CN"/>
            </w:rPr>
            <w:t>（一）各学院就业机会充分度</w:t>
          </w:r>
          <w:r>
            <w:tab/>
          </w:r>
          <w:r>
            <w:fldChar w:fldCharType="begin"/>
          </w:r>
          <w:r>
            <w:instrText xml:space="preserve"> PAGEREF _Toc151887702 \h </w:instrText>
          </w:r>
          <w:r>
            <w:fldChar w:fldCharType="separate"/>
          </w:r>
          <w:r>
            <w:t>37</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"_Toc151887703" </w:instrText>
          </w:r>
          <w:r>
            <w:fldChar w:fldCharType="separate"/>
          </w:r>
          <w:r>
            <w:rPr>
              <w:rStyle w:val="23"/>
              <w:lang w:val="zh-CN" w:eastAsia="zh-CN"/>
            </w:rPr>
            <w:t>（二）各专业就业机会充分度</w:t>
          </w:r>
          <w:r>
            <w:tab/>
          </w:r>
          <w:r>
            <w:fldChar w:fldCharType="begin"/>
          </w:r>
          <w:r>
            <w:instrText xml:space="preserve"> PAGEREF _Toc151887703 \h </w:instrText>
          </w:r>
          <w:r>
            <w:fldChar w:fldCharType="separate"/>
          </w:r>
          <w:r>
            <w:t>38</w:t>
          </w:r>
          <w:r>
            <w:fldChar w:fldCharType="end"/>
          </w:r>
          <w:r>
            <w:fldChar w:fldCharType="end"/>
          </w:r>
        </w:p>
        <w:p>
          <w:pPr>
            <w:pStyle w:val="13"/>
            <w:tabs>
              <w:tab w:val="right" w:leader="dot" w:pos="9736"/>
            </w:tabs>
            <w:ind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"_Toc151887704" </w:instrText>
          </w:r>
          <w:r>
            <w:fldChar w:fldCharType="separate"/>
          </w:r>
          <w:r>
            <w:rPr>
              <w:rStyle w:val="23"/>
              <w:lang w:eastAsia="zh-CN"/>
            </w:rPr>
            <w:t>四、薪酬</w:t>
          </w:r>
          <w:r>
            <w:tab/>
          </w:r>
          <w:r>
            <w:fldChar w:fldCharType="begin"/>
          </w:r>
          <w:r>
            <w:instrText xml:space="preserve"> PAGEREF _Toc151887704 \h </w:instrText>
          </w:r>
          <w:r>
            <w:fldChar w:fldCharType="separate"/>
          </w:r>
          <w:r>
            <w:t>39</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"_Toc151887705" </w:instrText>
          </w:r>
          <w:r>
            <w:fldChar w:fldCharType="separate"/>
          </w:r>
          <w:r>
            <w:rPr>
              <w:rStyle w:val="23"/>
              <w:lang w:val="zh-CN" w:eastAsia="zh-CN"/>
            </w:rPr>
            <w:t>（一）各学院月均收入</w:t>
          </w:r>
          <w:r>
            <w:tab/>
          </w:r>
          <w:r>
            <w:fldChar w:fldCharType="begin"/>
          </w:r>
          <w:r>
            <w:instrText xml:space="preserve"> PAGEREF _Toc151887705 \h </w:instrText>
          </w:r>
          <w:r>
            <w:fldChar w:fldCharType="separate"/>
          </w:r>
          <w:r>
            <w:t>40</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"_Toc151887706" </w:instrText>
          </w:r>
          <w:r>
            <w:fldChar w:fldCharType="separate"/>
          </w:r>
          <w:r>
            <w:rPr>
              <w:rStyle w:val="23"/>
              <w:lang w:val="zh-CN" w:eastAsia="zh-CN"/>
            </w:rPr>
            <w:t>（二）各专业月均收入</w:t>
          </w:r>
          <w:r>
            <w:tab/>
          </w:r>
          <w:r>
            <w:fldChar w:fldCharType="begin"/>
          </w:r>
          <w:r>
            <w:instrText xml:space="preserve"> PAGEREF _Toc151887706 \h </w:instrText>
          </w:r>
          <w:r>
            <w:fldChar w:fldCharType="separate"/>
          </w:r>
          <w:r>
            <w:t>40</w:t>
          </w:r>
          <w:r>
            <w:fldChar w:fldCharType="end"/>
          </w:r>
          <w:r>
            <w:fldChar w:fldCharType="end"/>
          </w:r>
        </w:p>
        <w:p>
          <w:pPr>
            <w:pStyle w:val="13"/>
            <w:tabs>
              <w:tab w:val="right" w:leader="dot" w:pos="9736"/>
            </w:tabs>
            <w:ind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"_Toc151887707" </w:instrText>
          </w:r>
          <w:r>
            <w:fldChar w:fldCharType="separate"/>
          </w:r>
          <w:r>
            <w:rPr>
              <w:rStyle w:val="23"/>
              <w:lang w:eastAsia="zh-CN"/>
            </w:rPr>
            <w:t>五、专业对口度</w:t>
          </w:r>
          <w:r>
            <w:tab/>
          </w:r>
          <w:r>
            <w:fldChar w:fldCharType="begin"/>
          </w:r>
          <w:r>
            <w:instrText xml:space="preserve"> PAGEREF _Toc151887707 \h </w:instrText>
          </w:r>
          <w:r>
            <w:fldChar w:fldCharType="separate"/>
          </w:r>
          <w:r>
            <w:t>41</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"_Toc151887708" </w:instrText>
          </w:r>
          <w:r>
            <w:fldChar w:fldCharType="separate"/>
          </w:r>
          <w:r>
            <w:rPr>
              <w:rStyle w:val="23"/>
              <w:lang w:val="zh-CN" w:eastAsia="zh-CN"/>
            </w:rPr>
            <w:t>（一）各学院专业对口度</w:t>
          </w:r>
          <w:r>
            <w:tab/>
          </w:r>
          <w:r>
            <w:fldChar w:fldCharType="begin"/>
          </w:r>
          <w:r>
            <w:instrText xml:space="preserve"> PAGEREF _Toc151887708 \h </w:instrText>
          </w:r>
          <w:r>
            <w:fldChar w:fldCharType="separate"/>
          </w:r>
          <w:r>
            <w:t>42</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"_Toc151887709" </w:instrText>
          </w:r>
          <w:r>
            <w:fldChar w:fldCharType="separate"/>
          </w:r>
          <w:r>
            <w:rPr>
              <w:rStyle w:val="23"/>
              <w:lang w:val="zh-CN" w:eastAsia="zh-CN"/>
            </w:rPr>
            <w:t>（二）各专业专业对口度</w:t>
          </w:r>
          <w:r>
            <w:tab/>
          </w:r>
          <w:r>
            <w:fldChar w:fldCharType="begin"/>
          </w:r>
          <w:r>
            <w:instrText xml:space="preserve"> PAGEREF _Toc151887709 \h </w:instrText>
          </w:r>
          <w:r>
            <w:fldChar w:fldCharType="separate"/>
          </w:r>
          <w:r>
            <w:t>43</w:t>
          </w:r>
          <w:r>
            <w:fldChar w:fldCharType="end"/>
          </w:r>
          <w:r>
            <w:fldChar w:fldCharType="end"/>
          </w:r>
        </w:p>
        <w:p>
          <w:pPr>
            <w:pStyle w:val="13"/>
            <w:tabs>
              <w:tab w:val="right" w:leader="dot" w:pos="9736"/>
            </w:tabs>
            <w:ind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"_Toc151887710" </w:instrText>
          </w:r>
          <w:r>
            <w:fldChar w:fldCharType="separate"/>
          </w:r>
          <w:r>
            <w:rPr>
              <w:rStyle w:val="23"/>
              <w:lang w:eastAsia="zh-CN"/>
            </w:rPr>
            <w:t>六、工作满意度</w:t>
          </w:r>
          <w:r>
            <w:tab/>
          </w:r>
          <w:r>
            <w:fldChar w:fldCharType="begin"/>
          </w:r>
          <w:r>
            <w:instrText xml:space="preserve"> PAGEREF _Toc151887710 \h </w:instrText>
          </w:r>
          <w:r>
            <w:fldChar w:fldCharType="separate"/>
          </w:r>
          <w:r>
            <w:t>44</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"_Toc151887711" </w:instrText>
          </w:r>
          <w:r>
            <w:fldChar w:fldCharType="separate"/>
          </w:r>
          <w:r>
            <w:rPr>
              <w:rStyle w:val="23"/>
              <w:lang w:val="zh-CN" w:eastAsia="zh-CN"/>
            </w:rPr>
            <w:t>（一）各学院工作满意度</w:t>
          </w:r>
          <w:r>
            <w:tab/>
          </w:r>
          <w:r>
            <w:fldChar w:fldCharType="begin"/>
          </w:r>
          <w:r>
            <w:instrText xml:space="preserve"> PAGEREF _Toc151887711 \h </w:instrText>
          </w:r>
          <w:r>
            <w:fldChar w:fldCharType="separate"/>
          </w:r>
          <w:r>
            <w:t>45</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"_Toc151887712" </w:instrText>
          </w:r>
          <w:r>
            <w:fldChar w:fldCharType="separate"/>
          </w:r>
          <w:r>
            <w:rPr>
              <w:rStyle w:val="23"/>
              <w:lang w:val="zh-CN" w:eastAsia="zh-CN"/>
            </w:rPr>
            <w:t>（二）各专业工作满意度</w:t>
          </w:r>
          <w:r>
            <w:tab/>
          </w:r>
          <w:r>
            <w:fldChar w:fldCharType="begin"/>
          </w:r>
          <w:r>
            <w:instrText xml:space="preserve"> PAGEREF _Toc151887712 \h </w:instrText>
          </w:r>
          <w:r>
            <w:fldChar w:fldCharType="separate"/>
          </w:r>
          <w:r>
            <w:t>46</w:t>
          </w:r>
          <w:r>
            <w:fldChar w:fldCharType="end"/>
          </w:r>
          <w:r>
            <w:fldChar w:fldCharType="end"/>
          </w:r>
        </w:p>
        <w:p>
          <w:pPr>
            <w:pStyle w:val="13"/>
            <w:tabs>
              <w:tab w:val="right" w:leader="dot" w:pos="9736"/>
            </w:tabs>
            <w:ind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"_Toc151887713" </w:instrText>
          </w:r>
          <w:r>
            <w:fldChar w:fldCharType="separate"/>
          </w:r>
          <w:r>
            <w:rPr>
              <w:rStyle w:val="23"/>
              <w:lang w:eastAsia="zh-CN"/>
            </w:rPr>
            <w:t>七、职业期待吻合度</w:t>
          </w:r>
          <w:r>
            <w:tab/>
          </w:r>
          <w:r>
            <w:fldChar w:fldCharType="begin"/>
          </w:r>
          <w:r>
            <w:instrText xml:space="preserve"> PAGEREF _Toc151887713 \h </w:instrText>
          </w:r>
          <w:r>
            <w:fldChar w:fldCharType="separate"/>
          </w:r>
          <w:r>
            <w:t>47</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"_Toc151887714" </w:instrText>
          </w:r>
          <w:r>
            <w:fldChar w:fldCharType="separate"/>
          </w:r>
          <w:r>
            <w:rPr>
              <w:rStyle w:val="23"/>
              <w:lang w:val="zh-CN" w:eastAsia="zh-CN"/>
            </w:rPr>
            <w:t>（一）各学院职业期待吻合度</w:t>
          </w:r>
          <w:r>
            <w:tab/>
          </w:r>
          <w:r>
            <w:fldChar w:fldCharType="begin"/>
          </w:r>
          <w:r>
            <w:instrText xml:space="preserve"> PAGEREF _Toc151887714 \h </w:instrText>
          </w:r>
          <w:r>
            <w:fldChar w:fldCharType="separate"/>
          </w:r>
          <w:r>
            <w:t>48</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"_Toc151887715" </w:instrText>
          </w:r>
          <w:r>
            <w:fldChar w:fldCharType="separate"/>
          </w:r>
          <w:r>
            <w:rPr>
              <w:rStyle w:val="23"/>
              <w:lang w:val="zh-CN" w:eastAsia="zh-CN"/>
            </w:rPr>
            <w:t>（二）各专业职业期待吻合度</w:t>
          </w:r>
          <w:r>
            <w:tab/>
          </w:r>
          <w:r>
            <w:fldChar w:fldCharType="begin"/>
          </w:r>
          <w:r>
            <w:instrText xml:space="preserve"> PAGEREF _Toc151887715 \h </w:instrText>
          </w:r>
          <w:r>
            <w:fldChar w:fldCharType="separate"/>
          </w:r>
          <w:r>
            <w:t>49</w:t>
          </w:r>
          <w:r>
            <w:fldChar w:fldCharType="end"/>
          </w:r>
          <w:r>
            <w:fldChar w:fldCharType="end"/>
          </w:r>
        </w:p>
        <w:p>
          <w:pPr>
            <w:pStyle w:val="13"/>
            <w:tabs>
              <w:tab w:val="right" w:leader="dot" w:pos="9736"/>
            </w:tabs>
            <w:ind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"_Toc151887716" </w:instrText>
          </w:r>
          <w:r>
            <w:fldChar w:fldCharType="separate"/>
          </w:r>
          <w:r>
            <w:rPr>
              <w:rStyle w:val="23"/>
              <w:lang w:eastAsia="zh-CN"/>
            </w:rPr>
            <w:t>八、工作稳定度</w:t>
          </w:r>
          <w:r>
            <w:tab/>
          </w:r>
          <w:r>
            <w:fldChar w:fldCharType="begin"/>
          </w:r>
          <w:r>
            <w:instrText xml:space="preserve"> PAGEREF _Toc151887716 \h </w:instrText>
          </w:r>
          <w:r>
            <w:fldChar w:fldCharType="separate"/>
          </w:r>
          <w:r>
            <w:t>49</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"_Toc151887717" </w:instrText>
          </w:r>
          <w:r>
            <w:fldChar w:fldCharType="separate"/>
          </w:r>
          <w:r>
            <w:rPr>
              <w:rStyle w:val="23"/>
              <w:lang w:val="zh-CN" w:eastAsia="zh-CN"/>
            </w:rPr>
            <w:t>（一）各学院工作稳定度</w:t>
          </w:r>
          <w:r>
            <w:tab/>
          </w:r>
          <w:r>
            <w:fldChar w:fldCharType="begin"/>
          </w:r>
          <w:r>
            <w:instrText xml:space="preserve"> PAGEREF _Toc151887717 \h </w:instrText>
          </w:r>
          <w:r>
            <w:fldChar w:fldCharType="separate"/>
          </w:r>
          <w:r>
            <w:t>51</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"_Toc151887718" </w:instrText>
          </w:r>
          <w:r>
            <w:fldChar w:fldCharType="separate"/>
          </w:r>
          <w:r>
            <w:rPr>
              <w:rStyle w:val="23"/>
              <w:lang w:val="zh-CN" w:eastAsia="zh-CN"/>
            </w:rPr>
            <w:t>（二）各专业工作稳定度</w:t>
          </w:r>
          <w:r>
            <w:tab/>
          </w:r>
          <w:r>
            <w:fldChar w:fldCharType="begin"/>
          </w:r>
          <w:r>
            <w:instrText xml:space="preserve"> PAGEREF _Toc151887718 \h </w:instrText>
          </w:r>
          <w:r>
            <w:fldChar w:fldCharType="separate"/>
          </w:r>
          <w:r>
            <w:t>51</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"_Toc151887719" </w:instrText>
          </w:r>
          <w:r>
            <w:fldChar w:fldCharType="separate"/>
          </w:r>
          <w:r>
            <w:rPr>
              <w:rStyle w:val="23"/>
              <w:rFonts w:eastAsia="黑体"/>
              <w:b/>
              <w:bCs/>
              <w:lang w:eastAsia="zh-CN"/>
            </w:rPr>
            <w:t>第二章  就业特色分析</w:t>
          </w:r>
          <w:r>
            <w:tab/>
          </w:r>
          <w:r>
            <w:fldChar w:fldCharType="begin"/>
          </w:r>
          <w:r>
            <w:instrText xml:space="preserve"> PAGEREF _Toc151887719 \h </w:instrText>
          </w:r>
          <w:r>
            <w:fldChar w:fldCharType="separate"/>
          </w:r>
          <w:r>
            <w:t>53</w:t>
          </w:r>
          <w:r>
            <w:fldChar w:fldCharType="end"/>
          </w:r>
          <w:r>
            <w:fldChar w:fldCharType="end"/>
          </w:r>
        </w:p>
        <w:p>
          <w:pPr>
            <w:pStyle w:val="13"/>
            <w:tabs>
              <w:tab w:val="right" w:leader="dot" w:pos="9736"/>
            </w:tabs>
            <w:ind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"_Toc151887720" </w:instrText>
          </w:r>
          <w:r>
            <w:fldChar w:fldCharType="separate"/>
          </w:r>
          <w:r>
            <w:rPr>
              <w:rStyle w:val="23"/>
              <w:lang w:eastAsia="zh-CN"/>
            </w:rPr>
            <w:t>一、就业地区特色</w:t>
          </w:r>
          <w:r>
            <w:tab/>
          </w:r>
          <w:r>
            <w:fldChar w:fldCharType="begin"/>
          </w:r>
          <w:r>
            <w:instrText xml:space="preserve"> PAGEREF _Toc151887720 \h </w:instrText>
          </w:r>
          <w:r>
            <w:fldChar w:fldCharType="separate"/>
          </w:r>
          <w:r>
            <w:t>53</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"_Toc151887721" </w:instrText>
          </w:r>
          <w:r>
            <w:fldChar w:fldCharType="separate"/>
          </w:r>
          <w:r>
            <w:rPr>
              <w:rStyle w:val="23"/>
              <w:lang w:eastAsia="zh-CN"/>
            </w:rPr>
            <w:t>（一）各学院就业地区分布</w:t>
          </w:r>
          <w:r>
            <w:tab/>
          </w:r>
          <w:r>
            <w:fldChar w:fldCharType="begin"/>
          </w:r>
          <w:r>
            <w:instrText xml:space="preserve"> PAGEREF _Toc151887721 \h </w:instrText>
          </w:r>
          <w:r>
            <w:fldChar w:fldCharType="separate"/>
          </w:r>
          <w:r>
            <w:t>54</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"_Toc151887722" </w:instrText>
          </w:r>
          <w:r>
            <w:fldChar w:fldCharType="separate"/>
          </w:r>
          <w:r>
            <w:rPr>
              <w:rStyle w:val="23"/>
              <w:lang w:eastAsia="zh-CN"/>
            </w:rPr>
            <w:t>（二）各专业就业地区分布</w:t>
          </w:r>
          <w:r>
            <w:tab/>
          </w:r>
          <w:r>
            <w:fldChar w:fldCharType="begin"/>
          </w:r>
          <w:r>
            <w:instrText xml:space="preserve"> PAGEREF _Toc151887722 \h </w:instrText>
          </w:r>
          <w:r>
            <w:fldChar w:fldCharType="separate"/>
          </w:r>
          <w:r>
            <w:t>55</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"_Toc151887723" </w:instrText>
          </w:r>
          <w:r>
            <w:fldChar w:fldCharType="separate"/>
          </w:r>
          <w:r>
            <w:rPr>
              <w:rStyle w:val="23"/>
              <w:lang w:eastAsia="zh-CN"/>
            </w:rPr>
            <w:t>（三）生源地与就业地域交叉分析</w:t>
          </w:r>
          <w:r>
            <w:tab/>
          </w:r>
          <w:r>
            <w:fldChar w:fldCharType="begin"/>
          </w:r>
          <w:r>
            <w:instrText xml:space="preserve"> PAGEREF _Toc151887723 \h </w:instrText>
          </w:r>
          <w:r>
            <w:fldChar w:fldCharType="separate"/>
          </w:r>
          <w:r>
            <w:t>56</w:t>
          </w:r>
          <w:r>
            <w:fldChar w:fldCharType="end"/>
          </w:r>
          <w:r>
            <w:fldChar w:fldCharType="end"/>
          </w:r>
        </w:p>
        <w:p>
          <w:pPr>
            <w:pStyle w:val="13"/>
            <w:tabs>
              <w:tab w:val="right" w:leader="dot" w:pos="9736"/>
            </w:tabs>
            <w:ind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"_Toc151887724" </w:instrText>
          </w:r>
          <w:r>
            <w:fldChar w:fldCharType="separate"/>
          </w:r>
          <w:r>
            <w:rPr>
              <w:rStyle w:val="23"/>
              <w:lang w:eastAsia="zh-CN"/>
            </w:rPr>
            <w:t>二、就业行业特色</w:t>
          </w:r>
          <w:r>
            <w:tab/>
          </w:r>
          <w:r>
            <w:fldChar w:fldCharType="begin"/>
          </w:r>
          <w:r>
            <w:instrText xml:space="preserve"> PAGEREF _Toc151887724 \h </w:instrText>
          </w:r>
          <w:r>
            <w:fldChar w:fldCharType="separate"/>
          </w:r>
          <w:r>
            <w:t>58</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"_Toc151887725" </w:instrText>
          </w:r>
          <w:r>
            <w:fldChar w:fldCharType="separate"/>
          </w:r>
          <w:r>
            <w:rPr>
              <w:rStyle w:val="23"/>
              <w:lang w:eastAsia="zh-CN"/>
            </w:rPr>
            <w:t>（一）各学院就业行业分布</w:t>
          </w:r>
          <w:r>
            <w:tab/>
          </w:r>
          <w:r>
            <w:fldChar w:fldCharType="begin"/>
          </w:r>
          <w:r>
            <w:instrText xml:space="preserve"> PAGEREF _Toc151887725 \h </w:instrText>
          </w:r>
          <w:r>
            <w:fldChar w:fldCharType="separate"/>
          </w:r>
          <w:r>
            <w:t>58</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"_Toc151887726" </w:instrText>
          </w:r>
          <w:r>
            <w:fldChar w:fldCharType="separate"/>
          </w:r>
          <w:r>
            <w:rPr>
              <w:rStyle w:val="23"/>
              <w:lang w:eastAsia="zh-CN"/>
            </w:rPr>
            <w:t>（二）各专业就业行业分布</w:t>
          </w:r>
          <w:r>
            <w:tab/>
          </w:r>
          <w:r>
            <w:fldChar w:fldCharType="begin"/>
          </w:r>
          <w:r>
            <w:instrText xml:space="preserve"> PAGEREF _Toc151887726 \h </w:instrText>
          </w:r>
          <w:r>
            <w:fldChar w:fldCharType="separate"/>
          </w:r>
          <w:r>
            <w:t>59</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"_Toc151887727" </w:instrText>
          </w:r>
          <w:r>
            <w:fldChar w:fldCharType="separate"/>
          </w:r>
          <w:r>
            <w:rPr>
              <w:rStyle w:val="23"/>
              <w:lang w:eastAsia="zh-CN"/>
            </w:rPr>
            <w:t>（三）主要就业行业就业质量差异分析</w:t>
          </w:r>
          <w:r>
            <w:tab/>
          </w:r>
          <w:r>
            <w:fldChar w:fldCharType="begin"/>
          </w:r>
          <w:r>
            <w:instrText xml:space="preserve"> PAGEREF _Toc151887727 \h </w:instrText>
          </w:r>
          <w:r>
            <w:fldChar w:fldCharType="separate"/>
          </w:r>
          <w:r>
            <w:t>60</w:t>
          </w:r>
          <w:r>
            <w:fldChar w:fldCharType="end"/>
          </w:r>
          <w:r>
            <w:fldChar w:fldCharType="end"/>
          </w:r>
        </w:p>
        <w:p>
          <w:pPr>
            <w:pStyle w:val="13"/>
            <w:tabs>
              <w:tab w:val="right" w:leader="dot" w:pos="9736"/>
            </w:tabs>
            <w:ind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"_Toc151887728" </w:instrText>
          </w:r>
          <w:r>
            <w:fldChar w:fldCharType="separate"/>
          </w:r>
          <w:r>
            <w:rPr>
              <w:rStyle w:val="23"/>
              <w:lang w:eastAsia="zh-CN"/>
            </w:rPr>
            <w:t>三、就业职业特色</w:t>
          </w:r>
          <w:r>
            <w:tab/>
          </w:r>
          <w:r>
            <w:fldChar w:fldCharType="begin"/>
          </w:r>
          <w:r>
            <w:instrText xml:space="preserve"> PAGEREF _Toc151887728 \h </w:instrText>
          </w:r>
          <w:r>
            <w:fldChar w:fldCharType="separate"/>
          </w:r>
          <w:r>
            <w:t>60</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"_Toc151887729" </w:instrText>
          </w:r>
          <w:r>
            <w:fldChar w:fldCharType="separate"/>
          </w:r>
          <w:r>
            <w:rPr>
              <w:rStyle w:val="23"/>
              <w:lang w:eastAsia="zh-CN"/>
            </w:rPr>
            <w:t>（一）各学院就业职业分布</w:t>
          </w:r>
          <w:r>
            <w:tab/>
          </w:r>
          <w:r>
            <w:fldChar w:fldCharType="begin"/>
          </w:r>
          <w:r>
            <w:instrText xml:space="preserve"> PAGEREF _Toc151887729 \h </w:instrText>
          </w:r>
          <w:r>
            <w:fldChar w:fldCharType="separate"/>
          </w:r>
          <w:r>
            <w:t>61</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"_Toc151887730" </w:instrText>
          </w:r>
          <w:r>
            <w:fldChar w:fldCharType="separate"/>
          </w:r>
          <w:r>
            <w:rPr>
              <w:rStyle w:val="23"/>
              <w:lang w:eastAsia="zh-CN"/>
            </w:rPr>
            <w:t>（二）各专业就业职业分布</w:t>
          </w:r>
          <w:r>
            <w:tab/>
          </w:r>
          <w:r>
            <w:fldChar w:fldCharType="begin"/>
          </w:r>
          <w:r>
            <w:instrText xml:space="preserve"> PAGEREF _Toc151887730 \h </w:instrText>
          </w:r>
          <w:r>
            <w:fldChar w:fldCharType="separate"/>
          </w:r>
          <w:r>
            <w:t>62</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"_Toc151887731" </w:instrText>
          </w:r>
          <w:r>
            <w:fldChar w:fldCharType="separate"/>
          </w:r>
          <w:r>
            <w:rPr>
              <w:rStyle w:val="23"/>
              <w:lang w:eastAsia="zh-CN"/>
            </w:rPr>
            <w:t>（三）主要就业职业就业质量差异分析</w:t>
          </w:r>
          <w:r>
            <w:tab/>
          </w:r>
          <w:r>
            <w:fldChar w:fldCharType="begin"/>
          </w:r>
          <w:r>
            <w:instrText xml:space="preserve"> PAGEREF _Toc151887731 \h </w:instrText>
          </w:r>
          <w:r>
            <w:fldChar w:fldCharType="separate"/>
          </w:r>
          <w:r>
            <w:t>62</w:t>
          </w:r>
          <w:r>
            <w:fldChar w:fldCharType="end"/>
          </w:r>
          <w:r>
            <w:fldChar w:fldCharType="end"/>
          </w:r>
        </w:p>
        <w:p>
          <w:pPr>
            <w:pStyle w:val="13"/>
            <w:tabs>
              <w:tab w:val="right" w:leader="dot" w:pos="9736"/>
            </w:tabs>
            <w:ind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"_Toc151887732" </w:instrText>
          </w:r>
          <w:r>
            <w:fldChar w:fldCharType="separate"/>
          </w:r>
          <w:r>
            <w:rPr>
              <w:rStyle w:val="23"/>
              <w:lang w:eastAsia="zh-CN"/>
            </w:rPr>
            <w:t>四、就业单位特色</w:t>
          </w:r>
          <w:r>
            <w:tab/>
          </w:r>
          <w:r>
            <w:fldChar w:fldCharType="begin"/>
          </w:r>
          <w:r>
            <w:instrText xml:space="preserve"> PAGEREF _Toc151887732 \h </w:instrText>
          </w:r>
          <w:r>
            <w:fldChar w:fldCharType="separate"/>
          </w:r>
          <w:r>
            <w:t>64</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"_Toc151887733" </w:instrText>
          </w:r>
          <w:r>
            <w:fldChar w:fldCharType="separate"/>
          </w:r>
          <w:r>
            <w:rPr>
              <w:rStyle w:val="23"/>
              <w:lang w:eastAsia="zh-CN"/>
            </w:rPr>
            <w:t>（一）各学院就业单位分布</w:t>
          </w:r>
          <w:r>
            <w:tab/>
          </w:r>
          <w:r>
            <w:fldChar w:fldCharType="begin"/>
          </w:r>
          <w:r>
            <w:instrText xml:space="preserve"> PAGEREF _Toc151887733 \h </w:instrText>
          </w:r>
          <w:r>
            <w:fldChar w:fldCharType="separate"/>
          </w:r>
          <w:r>
            <w:t>65</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"_Toc151887734" </w:instrText>
          </w:r>
          <w:r>
            <w:fldChar w:fldCharType="separate"/>
          </w:r>
          <w:r>
            <w:rPr>
              <w:rStyle w:val="23"/>
              <w:lang w:eastAsia="zh-CN"/>
            </w:rPr>
            <w:t>（二）各专业就业单位分布</w:t>
          </w:r>
          <w:r>
            <w:tab/>
          </w:r>
          <w:r>
            <w:fldChar w:fldCharType="begin"/>
          </w:r>
          <w:r>
            <w:instrText xml:space="preserve"> PAGEREF _Toc151887734 \h </w:instrText>
          </w:r>
          <w:r>
            <w:fldChar w:fldCharType="separate"/>
          </w:r>
          <w:r>
            <w:t>66</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"_Toc151887735" </w:instrText>
          </w:r>
          <w:r>
            <w:fldChar w:fldCharType="separate"/>
          </w:r>
          <w:r>
            <w:rPr>
              <w:rStyle w:val="23"/>
              <w:lang w:eastAsia="zh-CN"/>
            </w:rPr>
            <w:t>（三）主要就业单位就业质量差异分析</w:t>
          </w:r>
          <w:r>
            <w:tab/>
          </w:r>
          <w:r>
            <w:fldChar w:fldCharType="begin"/>
          </w:r>
          <w:r>
            <w:instrText xml:space="preserve"> PAGEREF _Toc151887735 \h </w:instrText>
          </w:r>
          <w:r>
            <w:fldChar w:fldCharType="separate"/>
          </w:r>
          <w:r>
            <w:t>66</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"_Toc151887736" </w:instrText>
          </w:r>
          <w:r>
            <w:fldChar w:fldCharType="separate"/>
          </w:r>
          <w:r>
            <w:rPr>
              <w:rStyle w:val="23"/>
              <w:rFonts w:eastAsia="黑体"/>
              <w:b/>
              <w:bCs/>
              <w:lang w:eastAsia="zh-CN"/>
            </w:rPr>
            <w:t>第三章  深造与创业</w:t>
          </w:r>
          <w:r>
            <w:tab/>
          </w:r>
          <w:r>
            <w:fldChar w:fldCharType="begin"/>
          </w:r>
          <w:r>
            <w:instrText xml:space="preserve"> PAGEREF _Toc151887736 \h </w:instrText>
          </w:r>
          <w:r>
            <w:fldChar w:fldCharType="separate"/>
          </w:r>
          <w:r>
            <w:t>69</w:t>
          </w:r>
          <w:r>
            <w:fldChar w:fldCharType="end"/>
          </w:r>
          <w:r>
            <w:fldChar w:fldCharType="end"/>
          </w:r>
        </w:p>
        <w:p>
          <w:pPr>
            <w:pStyle w:val="13"/>
            <w:tabs>
              <w:tab w:val="right" w:leader="dot" w:pos="9736"/>
            </w:tabs>
            <w:ind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"_Toc151887737" </w:instrText>
          </w:r>
          <w:r>
            <w:fldChar w:fldCharType="separate"/>
          </w:r>
          <w:r>
            <w:rPr>
              <w:rStyle w:val="23"/>
              <w:lang w:eastAsia="zh-CN"/>
            </w:rPr>
            <w:t>一、国内升学</w:t>
          </w:r>
          <w:r>
            <w:tab/>
          </w:r>
          <w:r>
            <w:fldChar w:fldCharType="begin"/>
          </w:r>
          <w:r>
            <w:instrText xml:space="preserve"> PAGEREF _Toc151887737 \h </w:instrText>
          </w:r>
          <w:r>
            <w:fldChar w:fldCharType="separate"/>
          </w:r>
          <w:r>
            <w:t>69</w:t>
          </w:r>
          <w:r>
            <w:fldChar w:fldCharType="end"/>
          </w:r>
          <w:r>
            <w:fldChar w:fldCharType="end"/>
          </w:r>
        </w:p>
        <w:p>
          <w:pPr>
            <w:pStyle w:val="13"/>
            <w:tabs>
              <w:tab w:val="right" w:leader="dot" w:pos="9736"/>
            </w:tabs>
            <w:ind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"_Toc151887738" </w:instrText>
          </w:r>
          <w:r>
            <w:fldChar w:fldCharType="separate"/>
          </w:r>
          <w:r>
            <w:rPr>
              <w:rStyle w:val="23"/>
              <w:lang w:eastAsia="zh-CN"/>
            </w:rPr>
            <w:t>二、出国/出境留学</w:t>
          </w:r>
          <w:r>
            <w:tab/>
          </w:r>
          <w:r>
            <w:fldChar w:fldCharType="begin"/>
          </w:r>
          <w:r>
            <w:instrText xml:space="preserve"> PAGEREF _Toc151887738 \h </w:instrText>
          </w:r>
          <w:r>
            <w:fldChar w:fldCharType="separate"/>
          </w:r>
          <w:r>
            <w:t>69</w:t>
          </w:r>
          <w:r>
            <w:fldChar w:fldCharType="end"/>
          </w:r>
          <w:r>
            <w:fldChar w:fldCharType="end"/>
          </w:r>
        </w:p>
        <w:p>
          <w:pPr>
            <w:pStyle w:val="13"/>
            <w:tabs>
              <w:tab w:val="right" w:leader="dot" w:pos="9736"/>
            </w:tabs>
            <w:ind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"_Toc151887739" </w:instrText>
          </w:r>
          <w:r>
            <w:fldChar w:fldCharType="separate"/>
          </w:r>
          <w:r>
            <w:rPr>
              <w:rStyle w:val="23"/>
              <w:lang w:eastAsia="zh-CN"/>
            </w:rPr>
            <w:t>三、创业基本情况</w:t>
          </w:r>
          <w:r>
            <w:tab/>
          </w:r>
          <w:r>
            <w:fldChar w:fldCharType="begin"/>
          </w:r>
          <w:r>
            <w:instrText xml:space="preserve"> PAGEREF _Toc151887739 \h </w:instrText>
          </w:r>
          <w:r>
            <w:fldChar w:fldCharType="separate"/>
          </w:r>
          <w:r>
            <w:t>70</w:t>
          </w:r>
          <w:r>
            <w:fldChar w:fldCharType="end"/>
          </w:r>
          <w:r>
            <w:fldChar w:fldCharType="end"/>
          </w:r>
        </w:p>
        <w:p>
          <w:pPr>
            <w:pStyle w:val="13"/>
            <w:tabs>
              <w:tab w:val="right" w:leader="dot" w:pos="9736"/>
            </w:tabs>
            <w:ind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"_Toc151887740" </w:instrText>
          </w:r>
          <w:r>
            <w:fldChar w:fldCharType="separate"/>
          </w:r>
          <w:r>
            <w:rPr>
              <w:rStyle w:val="23"/>
              <w:rFonts w:ascii="宋体" w:hAnsi="宋体" w:eastAsia="宋体" w:cs="宋体"/>
              <w:spacing w:val="10"/>
              <w:lang w:eastAsia="zh-CN"/>
              <w14:textOutline w14:w="7975" w14:cap="sq" w14:cmpd="sng" w14:algn="ctr">
                <w14:solidFill>
                  <w14:srgbClr w14:val="000000"/>
                </w14:solidFill>
                <w14:prstDash w14:val="solid"/>
                <w14:bevel/>
              </w14:textOutline>
            </w:rPr>
            <w:t>第四部分：专科毕业生就业相关分析</w:t>
          </w:r>
          <w:r>
            <w:tab/>
          </w:r>
          <w:r>
            <w:fldChar w:fldCharType="begin"/>
          </w:r>
          <w:r>
            <w:instrText xml:space="preserve"> PAGEREF _Toc151887740 \h </w:instrText>
          </w:r>
          <w:r>
            <w:fldChar w:fldCharType="separate"/>
          </w:r>
          <w:r>
            <w:t>71</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"_Toc151887741" </w:instrText>
          </w:r>
          <w:r>
            <w:fldChar w:fldCharType="separate"/>
          </w:r>
          <w:r>
            <w:rPr>
              <w:rStyle w:val="23"/>
              <w:rFonts w:eastAsia="黑体"/>
              <w:b/>
              <w:bCs/>
              <w:lang w:eastAsia="zh-CN"/>
            </w:rPr>
            <w:t>第一章  就业竞争力</w:t>
          </w:r>
          <w:r>
            <w:tab/>
          </w:r>
          <w:r>
            <w:fldChar w:fldCharType="begin"/>
          </w:r>
          <w:r>
            <w:instrText xml:space="preserve"> PAGEREF _Toc151887741 \h </w:instrText>
          </w:r>
          <w:r>
            <w:fldChar w:fldCharType="separate"/>
          </w:r>
          <w:r>
            <w:t>71</w:t>
          </w:r>
          <w:r>
            <w:fldChar w:fldCharType="end"/>
          </w:r>
          <w:r>
            <w:fldChar w:fldCharType="end"/>
          </w:r>
        </w:p>
        <w:p>
          <w:pPr>
            <w:pStyle w:val="13"/>
            <w:tabs>
              <w:tab w:val="right" w:leader="dot" w:pos="9736"/>
            </w:tabs>
            <w:ind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"_Toc151887742" </w:instrText>
          </w:r>
          <w:r>
            <w:fldChar w:fldCharType="separate"/>
          </w:r>
          <w:r>
            <w:rPr>
              <w:rStyle w:val="23"/>
              <w:lang w:eastAsia="zh-CN"/>
            </w:rPr>
            <w:t>一、毕业去向落实率</w:t>
          </w:r>
          <w:r>
            <w:tab/>
          </w:r>
          <w:r>
            <w:fldChar w:fldCharType="begin"/>
          </w:r>
          <w:r>
            <w:instrText xml:space="preserve"> PAGEREF _Toc151887742 \h </w:instrText>
          </w:r>
          <w:r>
            <w:fldChar w:fldCharType="separate"/>
          </w:r>
          <w:r>
            <w:t>71</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"_Toc151887743" </w:instrText>
          </w:r>
          <w:r>
            <w:fldChar w:fldCharType="separate"/>
          </w:r>
          <w:r>
            <w:rPr>
              <w:rStyle w:val="23"/>
              <w:lang w:val="zh-CN" w:eastAsia="zh-CN"/>
            </w:rPr>
            <w:t>（一）各学院毕业去向落实率</w:t>
          </w:r>
          <w:r>
            <w:tab/>
          </w:r>
          <w:r>
            <w:fldChar w:fldCharType="begin"/>
          </w:r>
          <w:r>
            <w:instrText xml:space="preserve"> PAGEREF _Toc151887743 \h </w:instrText>
          </w:r>
          <w:r>
            <w:fldChar w:fldCharType="separate"/>
          </w:r>
          <w:r>
            <w:t>71</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"_Toc151887744" </w:instrText>
          </w:r>
          <w:r>
            <w:fldChar w:fldCharType="separate"/>
          </w:r>
          <w:r>
            <w:rPr>
              <w:rStyle w:val="23"/>
              <w:lang w:val="zh-CN" w:eastAsia="zh-CN"/>
            </w:rPr>
            <w:t>（二）各专业毕业去向落实率</w:t>
          </w:r>
          <w:r>
            <w:tab/>
          </w:r>
          <w:r>
            <w:fldChar w:fldCharType="begin"/>
          </w:r>
          <w:r>
            <w:instrText xml:space="preserve"> PAGEREF _Toc151887744 \h </w:instrText>
          </w:r>
          <w:r>
            <w:fldChar w:fldCharType="separate"/>
          </w:r>
          <w:r>
            <w:t>72</w:t>
          </w:r>
          <w:r>
            <w:fldChar w:fldCharType="end"/>
          </w:r>
          <w:r>
            <w:fldChar w:fldCharType="end"/>
          </w:r>
        </w:p>
        <w:p>
          <w:pPr>
            <w:pStyle w:val="13"/>
            <w:tabs>
              <w:tab w:val="right" w:leader="dot" w:pos="9736"/>
            </w:tabs>
            <w:ind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"_Toc151887745" </w:instrText>
          </w:r>
          <w:r>
            <w:fldChar w:fldCharType="separate"/>
          </w:r>
          <w:r>
            <w:rPr>
              <w:rStyle w:val="23"/>
              <w:lang w:eastAsia="zh-CN"/>
            </w:rPr>
            <w:t>二、毕业去向</w:t>
          </w:r>
          <w:r>
            <w:tab/>
          </w:r>
          <w:r>
            <w:fldChar w:fldCharType="begin"/>
          </w:r>
          <w:r>
            <w:instrText xml:space="preserve"> PAGEREF _Toc151887745 \h </w:instrText>
          </w:r>
          <w:r>
            <w:fldChar w:fldCharType="separate"/>
          </w:r>
          <w:r>
            <w:t>74</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"_Toc151887746" </w:instrText>
          </w:r>
          <w:r>
            <w:fldChar w:fldCharType="separate"/>
          </w:r>
          <w:r>
            <w:rPr>
              <w:rStyle w:val="23"/>
              <w:lang w:val="zh-CN" w:eastAsia="zh-CN"/>
            </w:rPr>
            <w:t>（一）各学院毕业去向分布</w:t>
          </w:r>
          <w:r>
            <w:tab/>
          </w:r>
          <w:r>
            <w:fldChar w:fldCharType="begin"/>
          </w:r>
          <w:r>
            <w:instrText xml:space="preserve"> PAGEREF _Toc151887746 \h </w:instrText>
          </w:r>
          <w:r>
            <w:fldChar w:fldCharType="separate"/>
          </w:r>
          <w:r>
            <w:t>74</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"_Toc151887747" </w:instrText>
          </w:r>
          <w:r>
            <w:fldChar w:fldCharType="separate"/>
          </w:r>
          <w:r>
            <w:rPr>
              <w:rStyle w:val="23"/>
              <w:lang w:val="zh-CN" w:eastAsia="zh-CN"/>
            </w:rPr>
            <w:t>（二）各专业毕业去向分布</w:t>
          </w:r>
          <w:r>
            <w:tab/>
          </w:r>
          <w:r>
            <w:fldChar w:fldCharType="begin"/>
          </w:r>
          <w:r>
            <w:instrText xml:space="preserve"> PAGEREF _Toc151887747 \h </w:instrText>
          </w:r>
          <w:r>
            <w:fldChar w:fldCharType="separate"/>
          </w:r>
          <w:r>
            <w:t>75</w:t>
          </w:r>
          <w:r>
            <w:fldChar w:fldCharType="end"/>
          </w:r>
          <w:r>
            <w:fldChar w:fldCharType="end"/>
          </w:r>
        </w:p>
        <w:p>
          <w:pPr>
            <w:pStyle w:val="13"/>
            <w:tabs>
              <w:tab w:val="right" w:leader="dot" w:pos="9736"/>
            </w:tabs>
            <w:ind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"_Toc151887748" </w:instrText>
          </w:r>
          <w:r>
            <w:fldChar w:fldCharType="separate"/>
          </w:r>
          <w:r>
            <w:rPr>
              <w:rStyle w:val="23"/>
              <w:lang w:eastAsia="zh-CN"/>
            </w:rPr>
            <w:t>三、就业机会充分度</w:t>
          </w:r>
          <w:r>
            <w:tab/>
          </w:r>
          <w:r>
            <w:fldChar w:fldCharType="begin"/>
          </w:r>
          <w:r>
            <w:instrText xml:space="preserve"> PAGEREF _Toc151887748 \h </w:instrText>
          </w:r>
          <w:r>
            <w:fldChar w:fldCharType="separate"/>
          </w:r>
          <w:r>
            <w:t>77</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"_Toc151887749" </w:instrText>
          </w:r>
          <w:r>
            <w:fldChar w:fldCharType="separate"/>
          </w:r>
          <w:r>
            <w:rPr>
              <w:rStyle w:val="23"/>
              <w:lang w:val="zh-CN" w:eastAsia="zh-CN"/>
            </w:rPr>
            <w:t>（一）各学院就业机会充分度</w:t>
          </w:r>
          <w:r>
            <w:tab/>
          </w:r>
          <w:r>
            <w:fldChar w:fldCharType="begin"/>
          </w:r>
          <w:r>
            <w:instrText xml:space="preserve"> PAGEREF _Toc151887749 \h </w:instrText>
          </w:r>
          <w:r>
            <w:fldChar w:fldCharType="separate"/>
          </w:r>
          <w:r>
            <w:t>78</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"_Toc151887750" </w:instrText>
          </w:r>
          <w:r>
            <w:fldChar w:fldCharType="separate"/>
          </w:r>
          <w:r>
            <w:rPr>
              <w:rStyle w:val="23"/>
              <w:lang w:val="zh-CN" w:eastAsia="zh-CN"/>
            </w:rPr>
            <w:t>（二）各专业就业机会充分度</w:t>
          </w:r>
          <w:r>
            <w:tab/>
          </w:r>
          <w:r>
            <w:fldChar w:fldCharType="begin"/>
          </w:r>
          <w:r>
            <w:instrText xml:space="preserve"> PAGEREF _Toc151887750 \h </w:instrText>
          </w:r>
          <w:r>
            <w:fldChar w:fldCharType="separate"/>
          </w:r>
          <w:r>
            <w:t>78</w:t>
          </w:r>
          <w:r>
            <w:fldChar w:fldCharType="end"/>
          </w:r>
          <w:r>
            <w:fldChar w:fldCharType="end"/>
          </w:r>
        </w:p>
        <w:p>
          <w:pPr>
            <w:pStyle w:val="13"/>
            <w:tabs>
              <w:tab w:val="right" w:leader="dot" w:pos="9736"/>
            </w:tabs>
            <w:ind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"_Toc151887751" </w:instrText>
          </w:r>
          <w:r>
            <w:fldChar w:fldCharType="separate"/>
          </w:r>
          <w:r>
            <w:rPr>
              <w:rStyle w:val="23"/>
              <w:lang w:eastAsia="zh-CN"/>
            </w:rPr>
            <w:t>四、薪酬</w:t>
          </w:r>
          <w:r>
            <w:tab/>
          </w:r>
          <w:r>
            <w:fldChar w:fldCharType="begin"/>
          </w:r>
          <w:r>
            <w:instrText xml:space="preserve"> PAGEREF _Toc151887751 \h </w:instrText>
          </w:r>
          <w:r>
            <w:fldChar w:fldCharType="separate"/>
          </w:r>
          <w:r>
            <w:t>80</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"_Toc151887752" </w:instrText>
          </w:r>
          <w:r>
            <w:fldChar w:fldCharType="separate"/>
          </w:r>
          <w:r>
            <w:rPr>
              <w:rStyle w:val="23"/>
              <w:lang w:val="zh-CN" w:eastAsia="zh-CN"/>
            </w:rPr>
            <w:t>（一）各学院月均收入</w:t>
          </w:r>
          <w:r>
            <w:tab/>
          </w:r>
          <w:r>
            <w:fldChar w:fldCharType="begin"/>
          </w:r>
          <w:r>
            <w:instrText xml:space="preserve"> PAGEREF _Toc151887752 \h </w:instrText>
          </w:r>
          <w:r>
            <w:fldChar w:fldCharType="separate"/>
          </w:r>
          <w:r>
            <w:t>81</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"_Toc151887753" </w:instrText>
          </w:r>
          <w:r>
            <w:fldChar w:fldCharType="separate"/>
          </w:r>
          <w:r>
            <w:rPr>
              <w:rStyle w:val="23"/>
              <w:lang w:val="zh-CN" w:eastAsia="zh-CN"/>
            </w:rPr>
            <w:t>（二）各专业月均收入</w:t>
          </w:r>
          <w:r>
            <w:tab/>
          </w:r>
          <w:r>
            <w:fldChar w:fldCharType="begin"/>
          </w:r>
          <w:r>
            <w:instrText xml:space="preserve"> PAGEREF _Toc151887753 \h </w:instrText>
          </w:r>
          <w:r>
            <w:fldChar w:fldCharType="separate"/>
          </w:r>
          <w:r>
            <w:t>82</w:t>
          </w:r>
          <w:r>
            <w:fldChar w:fldCharType="end"/>
          </w:r>
          <w:r>
            <w:fldChar w:fldCharType="end"/>
          </w:r>
        </w:p>
        <w:p>
          <w:pPr>
            <w:pStyle w:val="13"/>
            <w:tabs>
              <w:tab w:val="right" w:leader="dot" w:pos="9736"/>
            </w:tabs>
            <w:ind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"_Toc151887754" </w:instrText>
          </w:r>
          <w:r>
            <w:fldChar w:fldCharType="separate"/>
          </w:r>
          <w:r>
            <w:rPr>
              <w:rStyle w:val="23"/>
              <w:lang w:eastAsia="zh-CN"/>
            </w:rPr>
            <w:t>五、专业对口度</w:t>
          </w:r>
          <w:r>
            <w:tab/>
          </w:r>
          <w:r>
            <w:fldChar w:fldCharType="begin"/>
          </w:r>
          <w:r>
            <w:instrText xml:space="preserve"> PAGEREF _Toc151887754 \h </w:instrText>
          </w:r>
          <w:r>
            <w:fldChar w:fldCharType="separate"/>
          </w:r>
          <w:r>
            <w:t>83</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"_Toc151887755" </w:instrText>
          </w:r>
          <w:r>
            <w:fldChar w:fldCharType="separate"/>
          </w:r>
          <w:r>
            <w:rPr>
              <w:rStyle w:val="23"/>
              <w:lang w:val="zh-CN" w:eastAsia="zh-CN"/>
            </w:rPr>
            <w:t>（一）各学院专业对口度</w:t>
          </w:r>
          <w:r>
            <w:tab/>
          </w:r>
          <w:r>
            <w:fldChar w:fldCharType="begin"/>
          </w:r>
          <w:r>
            <w:instrText xml:space="preserve"> PAGEREF _Toc151887755 \h </w:instrText>
          </w:r>
          <w:r>
            <w:fldChar w:fldCharType="separate"/>
          </w:r>
          <w:r>
            <w:t>86</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"_Toc151887756" </w:instrText>
          </w:r>
          <w:r>
            <w:fldChar w:fldCharType="separate"/>
          </w:r>
          <w:r>
            <w:rPr>
              <w:rStyle w:val="23"/>
              <w:lang w:val="zh-CN" w:eastAsia="zh-CN"/>
            </w:rPr>
            <w:t>（二）各专业专业对口度</w:t>
          </w:r>
          <w:r>
            <w:tab/>
          </w:r>
          <w:r>
            <w:fldChar w:fldCharType="begin"/>
          </w:r>
          <w:r>
            <w:instrText xml:space="preserve"> PAGEREF _Toc151887756 \h </w:instrText>
          </w:r>
          <w:r>
            <w:fldChar w:fldCharType="separate"/>
          </w:r>
          <w:r>
            <w:t>86</w:t>
          </w:r>
          <w:r>
            <w:fldChar w:fldCharType="end"/>
          </w:r>
          <w:r>
            <w:fldChar w:fldCharType="end"/>
          </w:r>
        </w:p>
        <w:p>
          <w:pPr>
            <w:pStyle w:val="13"/>
            <w:tabs>
              <w:tab w:val="right" w:leader="dot" w:pos="9736"/>
            </w:tabs>
            <w:ind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"_Toc151887757" </w:instrText>
          </w:r>
          <w:r>
            <w:fldChar w:fldCharType="separate"/>
          </w:r>
          <w:r>
            <w:rPr>
              <w:rStyle w:val="23"/>
              <w:lang w:eastAsia="zh-CN"/>
            </w:rPr>
            <w:t>六、工作满意度</w:t>
          </w:r>
          <w:r>
            <w:tab/>
          </w:r>
          <w:r>
            <w:fldChar w:fldCharType="begin"/>
          </w:r>
          <w:r>
            <w:instrText xml:space="preserve"> PAGEREF _Toc151887757 \h </w:instrText>
          </w:r>
          <w:r>
            <w:fldChar w:fldCharType="separate"/>
          </w:r>
          <w:r>
            <w:t>88</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"_Toc151887758" </w:instrText>
          </w:r>
          <w:r>
            <w:fldChar w:fldCharType="separate"/>
          </w:r>
          <w:r>
            <w:rPr>
              <w:rStyle w:val="23"/>
              <w:lang w:val="zh-CN" w:eastAsia="zh-CN"/>
            </w:rPr>
            <w:t>（一）各学院工作满意度</w:t>
          </w:r>
          <w:r>
            <w:tab/>
          </w:r>
          <w:r>
            <w:fldChar w:fldCharType="begin"/>
          </w:r>
          <w:r>
            <w:instrText xml:space="preserve"> PAGEREF _Toc151887758 \h </w:instrText>
          </w:r>
          <w:r>
            <w:fldChar w:fldCharType="separate"/>
          </w:r>
          <w:r>
            <w:t>89</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"_Toc151887759" </w:instrText>
          </w:r>
          <w:r>
            <w:fldChar w:fldCharType="separate"/>
          </w:r>
          <w:r>
            <w:rPr>
              <w:rStyle w:val="23"/>
              <w:lang w:val="zh-CN" w:eastAsia="zh-CN"/>
            </w:rPr>
            <w:t>（二）各专业工作满意度</w:t>
          </w:r>
          <w:r>
            <w:tab/>
          </w:r>
          <w:r>
            <w:fldChar w:fldCharType="begin"/>
          </w:r>
          <w:r>
            <w:instrText xml:space="preserve"> PAGEREF _Toc151887759 \h </w:instrText>
          </w:r>
          <w:r>
            <w:fldChar w:fldCharType="separate"/>
          </w:r>
          <w:r>
            <w:t>91</w:t>
          </w:r>
          <w:r>
            <w:fldChar w:fldCharType="end"/>
          </w:r>
          <w:r>
            <w:fldChar w:fldCharType="end"/>
          </w:r>
        </w:p>
        <w:p>
          <w:pPr>
            <w:pStyle w:val="13"/>
            <w:tabs>
              <w:tab w:val="right" w:leader="dot" w:pos="9736"/>
            </w:tabs>
            <w:ind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"_Toc151887760" </w:instrText>
          </w:r>
          <w:r>
            <w:fldChar w:fldCharType="separate"/>
          </w:r>
          <w:r>
            <w:rPr>
              <w:rStyle w:val="23"/>
              <w:lang w:eastAsia="zh-CN"/>
            </w:rPr>
            <w:t>七、职业期待吻合度</w:t>
          </w:r>
          <w:r>
            <w:tab/>
          </w:r>
          <w:r>
            <w:fldChar w:fldCharType="begin"/>
          </w:r>
          <w:r>
            <w:instrText xml:space="preserve"> PAGEREF _Toc151887760 \h </w:instrText>
          </w:r>
          <w:r>
            <w:fldChar w:fldCharType="separate"/>
          </w:r>
          <w:r>
            <w:t>93</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"_Toc151887761" </w:instrText>
          </w:r>
          <w:r>
            <w:fldChar w:fldCharType="separate"/>
          </w:r>
          <w:r>
            <w:rPr>
              <w:rStyle w:val="23"/>
              <w:lang w:val="zh-CN" w:eastAsia="zh-CN"/>
            </w:rPr>
            <w:t>（一）各学院职业期待吻合度</w:t>
          </w:r>
          <w:r>
            <w:tab/>
          </w:r>
          <w:r>
            <w:fldChar w:fldCharType="begin"/>
          </w:r>
          <w:r>
            <w:instrText xml:space="preserve"> PAGEREF _Toc151887761 \h </w:instrText>
          </w:r>
          <w:r>
            <w:fldChar w:fldCharType="separate"/>
          </w:r>
          <w:r>
            <w:t>95</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"_Toc151887762" </w:instrText>
          </w:r>
          <w:r>
            <w:fldChar w:fldCharType="separate"/>
          </w:r>
          <w:r>
            <w:rPr>
              <w:rStyle w:val="23"/>
              <w:lang w:val="zh-CN" w:eastAsia="zh-CN"/>
            </w:rPr>
            <w:t>（二）各专业职业期待吻合度</w:t>
          </w:r>
          <w:r>
            <w:tab/>
          </w:r>
          <w:r>
            <w:fldChar w:fldCharType="begin"/>
          </w:r>
          <w:r>
            <w:instrText xml:space="preserve"> PAGEREF _Toc151887762 \h </w:instrText>
          </w:r>
          <w:r>
            <w:fldChar w:fldCharType="separate"/>
          </w:r>
          <w:r>
            <w:t>95</w:t>
          </w:r>
          <w:r>
            <w:fldChar w:fldCharType="end"/>
          </w:r>
          <w:r>
            <w:fldChar w:fldCharType="end"/>
          </w:r>
        </w:p>
        <w:p>
          <w:pPr>
            <w:pStyle w:val="13"/>
            <w:tabs>
              <w:tab w:val="right" w:leader="dot" w:pos="9736"/>
            </w:tabs>
            <w:ind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"_Toc151887763" </w:instrText>
          </w:r>
          <w:r>
            <w:fldChar w:fldCharType="separate"/>
          </w:r>
          <w:r>
            <w:rPr>
              <w:rStyle w:val="23"/>
              <w:lang w:eastAsia="zh-CN"/>
            </w:rPr>
            <w:t>八、工作稳定度</w:t>
          </w:r>
          <w:r>
            <w:tab/>
          </w:r>
          <w:r>
            <w:fldChar w:fldCharType="begin"/>
          </w:r>
          <w:r>
            <w:instrText xml:space="preserve"> PAGEREF _Toc151887763 \h </w:instrText>
          </w:r>
          <w:r>
            <w:fldChar w:fldCharType="separate"/>
          </w:r>
          <w:r>
            <w:t>97</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"_Toc151887764" </w:instrText>
          </w:r>
          <w:r>
            <w:fldChar w:fldCharType="separate"/>
          </w:r>
          <w:r>
            <w:rPr>
              <w:rStyle w:val="23"/>
              <w:lang w:val="zh-CN" w:eastAsia="zh-CN"/>
            </w:rPr>
            <w:t>（一）各学院工作稳定度</w:t>
          </w:r>
          <w:r>
            <w:tab/>
          </w:r>
          <w:r>
            <w:fldChar w:fldCharType="begin"/>
          </w:r>
          <w:r>
            <w:instrText xml:space="preserve"> PAGEREF _Toc151887764 \h </w:instrText>
          </w:r>
          <w:r>
            <w:fldChar w:fldCharType="separate"/>
          </w:r>
          <w:r>
            <w:t>98</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"_Toc151887765" </w:instrText>
          </w:r>
          <w:r>
            <w:fldChar w:fldCharType="separate"/>
          </w:r>
          <w:r>
            <w:rPr>
              <w:rStyle w:val="23"/>
              <w:lang w:val="zh-CN" w:eastAsia="zh-CN"/>
            </w:rPr>
            <w:t>（二）各专业工作稳定度</w:t>
          </w:r>
          <w:r>
            <w:tab/>
          </w:r>
          <w:r>
            <w:fldChar w:fldCharType="begin"/>
          </w:r>
          <w:r>
            <w:instrText xml:space="preserve"> PAGEREF _Toc151887765 \h </w:instrText>
          </w:r>
          <w:r>
            <w:fldChar w:fldCharType="separate"/>
          </w:r>
          <w:r>
            <w:t>99</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"_Toc151887766" </w:instrText>
          </w:r>
          <w:r>
            <w:fldChar w:fldCharType="separate"/>
          </w:r>
          <w:r>
            <w:rPr>
              <w:rStyle w:val="23"/>
              <w:rFonts w:eastAsia="黑体"/>
              <w:b/>
              <w:bCs/>
              <w:lang w:eastAsia="zh-CN"/>
            </w:rPr>
            <w:t>第二章  就业特色</w:t>
          </w:r>
          <w:r>
            <w:tab/>
          </w:r>
          <w:r>
            <w:fldChar w:fldCharType="begin"/>
          </w:r>
          <w:r>
            <w:instrText xml:space="preserve"> PAGEREF _Toc151887766 \h </w:instrText>
          </w:r>
          <w:r>
            <w:fldChar w:fldCharType="separate"/>
          </w:r>
          <w:r>
            <w:t>101</w:t>
          </w:r>
          <w:r>
            <w:fldChar w:fldCharType="end"/>
          </w:r>
          <w:r>
            <w:fldChar w:fldCharType="end"/>
          </w:r>
        </w:p>
        <w:p>
          <w:pPr>
            <w:pStyle w:val="13"/>
            <w:tabs>
              <w:tab w:val="right" w:leader="dot" w:pos="9736"/>
            </w:tabs>
            <w:ind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"_Toc151887767" </w:instrText>
          </w:r>
          <w:r>
            <w:fldChar w:fldCharType="separate"/>
          </w:r>
          <w:r>
            <w:rPr>
              <w:rStyle w:val="23"/>
              <w:lang w:eastAsia="zh-CN"/>
            </w:rPr>
            <w:t>一、就业地区特色</w:t>
          </w:r>
          <w:r>
            <w:tab/>
          </w:r>
          <w:r>
            <w:fldChar w:fldCharType="begin"/>
          </w:r>
          <w:r>
            <w:instrText xml:space="preserve"> PAGEREF _Toc151887767 \h </w:instrText>
          </w:r>
          <w:r>
            <w:fldChar w:fldCharType="separate"/>
          </w:r>
          <w:r>
            <w:t>101</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"_Toc151887768" </w:instrText>
          </w:r>
          <w:r>
            <w:fldChar w:fldCharType="separate"/>
          </w:r>
          <w:r>
            <w:rPr>
              <w:rStyle w:val="23"/>
              <w:lang w:eastAsia="zh-CN"/>
            </w:rPr>
            <w:t>（一）各学院就业地区分布</w:t>
          </w:r>
          <w:r>
            <w:tab/>
          </w:r>
          <w:r>
            <w:fldChar w:fldCharType="begin"/>
          </w:r>
          <w:r>
            <w:instrText xml:space="preserve"> PAGEREF _Toc151887768 \h </w:instrText>
          </w:r>
          <w:r>
            <w:fldChar w:fldCharType="separate"/>
          </w:r>
          <w:r>
            <w:t>103</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"_Toc151887769" </w:instrText>
          </w:r>
          <w:r>
            <w:fldChar w:fldCharType="separate"/>
          </w:r>
          <w:r>
            <w:rPr>
              <w:rStyle w:val="23"/>
              <w:lang w:eastAsia="zh-CN"/>
            </w:rPr>
            <w:t>（二）各专业就业地区分布</w:t>
          </w:r>
          <w:r>
            <w:tab/>
          </w:r>
          <w:r>
            <w:fldChar w:fldCharType="begin"/>
          </w:r>
          <w:r>
            <w:instrText xml:space="preserve"> PAGEREF _Toc151887769 \h </w:instrText>
          </w:r>
          <w:r>
            <w:fldChar w:fldCharType="separate"/>
          </w:r>
          <w:r>
            <w:t>104</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"_Toc151887770" </w:instrText>
          </w:r>
          <w:r>
            <w:fldChar w:fldCharType="separate"/>
          </w:r>
          <w:r>
            <w:rPr>
              <w:rStyle w:val="23"/>
              <w:lang w:eastAsia="zh-CN"/>
            </w:rPr>
            <w:t>（三）生源地与就业地域交叉分析</w:t>
          </w:r>
          <w:r>
            <w:tab/>
          </w:r>
          <w:r>
            <w:fldChar w:fldCharType="begin"/>
          </w:r>
          <w:r>
            <w:instrText xml:space="preserve"> PAGEREF _Toc151887770 \h </w:instrText>
          </w:r>
          <w:r>
            <w:fldChar w:fldCharType="separate"/>
          </w:r>
          <w:r>
            <w:t>106</w:t>
          </w:r>
          <w:r>
            <w:fldChar w:fldCharType="end"/>
          </w:r>
          <w:r>
            <w:fldChar w:fldCharType="end"/>
          </w:r>
        </w:p>
        <w:p>
          <w:pPr>
            <w:pStyle w:val="13"/>
            <w:tabs>
              <w:tab w:val="right" w:leader="dot" w:pos="9736"/>
            </w:tabs>
            <w:ind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"_Toc151887771" </w:instrText>
          </w:r>
          <w:r>
            <w:fldChar w:fldCharType="separate"/>
          </w:r>
          <w:r>
            <w:rPr>
              <w:rStyle w:val="23"/>
              <w:lang w:eastAsia="zh-CN"/>
            </w:rPr>
            <w:t>二、就业行业特色</w:t>
          </w:r>
          <w:r>
            <w:tab/>
          </w:r>
          <w:r>
            <w:fldChar w:fldCharType="begin"/>
          </w:r>
          <w:r>
            <w:instrText xml:space="preserve"> PAGEREF _Toc151887771 \h </w:instrText>
          </w:r>
          <w:r>
            <w:fldChar w:fldCharType="separate"/>
          </w:r>
          <w:r>
            <w:t>109</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"_Toc151887772" </w:instrText>
          </w:r>
          <w:r>
            <w:fldChar w:fldCharType="separate"/>
          </w:r>
          <w:r>
            <w:rPr>
              <w:rStyle w:val="23"/>
              <w:lang w:eastAsia="zh-CN"/>
            </w:rPr>
            <w:t>（一）各学院就业行业分布</w:t>
          </w:r>
          <w:r>
            <w:tab/>
          </w:r>
          <w:r>
            <w:fldChar w:fldCharType="begin"/>
          </w:r>
          <w:r>
            <w:instrText xml:space="preserve"> PAGEREF _Toc151887772 \h </w:instrText>
          </w:r>
          <w:r>
            <w:fldChar w:fldCharType="separate"/>
          </w:r>
          <w:r>
            <w:t>109</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"_Toc151887773" </w:instrText>
          </w:r>
          <w:r>
            <w:fldChar w:fldCharType="separate"/>
          </w:r>
          <w:r>
            <w:rPr>
              <w:rStyle w:val="23"/>
              <w:lang w:eastAsia="zh-CN"/>
            </w:rPr>
            <w:t>（二）各专业就业行业分布</w:t>
          </w:r>
          <w:r>
            <w:tab/>
          </w:r>
          <w:r>
            <w:fldChar w:fldCharType="begin"/>
          </w:r>
          <w:r>
            <w:instrText xml:space="preserve"> PAGEREF _Toc151887773 \h </w:instrText>
          </w:r>
          <w:r>
            <w:fldChar w:fldCharType="separate"/>
          </w:r>
          <w:r>
            <w:t>110</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"_Toc151887774" </w:instrText>
          </w:r>
          <w:r>
            <w:fldChar w:fldCharType="separate"/>
          </w:r>
          <w:r>
            <w:rPr>
              <w:rStyle w:val="23"/>
              <w:lang w:eastAsia="zh-CN"/>
            </w:rPr>
            <w:t>（三）主要就业行业就业质量差异分析</w:t>
          </w:r>
          <w:r>
            <w:tab/>
          </w:r>
          <w:r>
            <w:fldChar w:fldCharType="begin"/>
          </w:r>
          <w:r>
            <w:instrText xml:space="preserve"> PAGEREF _Toc151887774 \h </w:instrText>
          </w:r>
          <w:r>
            <w:fldChar w:fldCharType="separate"/>
          </w:r>
          <w:r>
            <w:t>113</w:t>
          </w:r>
          <w:r>
            <w:fldChar w:fldCharType="end"/>
          </w:r>
          <w:r>
            <w:fldChar w:fldCharType="end"/>
          </w:r>
        </w:p>
        <w:p>
          <w:pPr>
            <w:pStyle w:val="13"/>
            <w:tabs>
              <w:tab w:val="right" w:leader="dot" w:pos="9736"/>
            </w:tabs>
            <w:ind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"_Toc151887775" </w:instrText>
          </w:r>
          <w:r>
            <w:fldChar w:fldCharType="separate"/>
          </w:r>
          <w:r>
            <w:rPr>
              <w:rStyle w:val="23"/>
              <w:lang w:eastAsia="zh-CN"/>
            </w:rPr>
            <w:t>三、就业职业特色</w:t>
          </w:r>
          <w:r>
            <w:tab/>
          </w:r>
          <w:r>
            <w:fldChar w:fldCharType="begin"/>
          </w:r>
          <w:r>
            <w:instrText xml:space="preserve"> PAGEREF _Toc151887775 \h </w:instrText>
          </w:r>
          <w:r>
            <w:fldChar w:fldCharType="separate"/>
          </w:r>
          <w:r>
            <w:t>114</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"_Toc151887776" </w:instrText>
          </w:r>
          <w:r>
            <w:fldChar w:fldCharType="separate"/>
          </w:r>
          <w:r>
            <w:rPr>
              <w:rStyle w:val="23"/>
              <w:lang w:eastAsia="zh-CN"/>
            </w:rPr>
            <w:t>（一）各学院就业职业分布</w:t>
          </w:r>
          <w:r>
            <w:tab/>
          </w:r>
          <w:r>
            <w:fldChar w:fldCharType="begin"/>
          </w:r>
          <w:r>
            <w:instrText xml:space="preserve"> PAGEREF _Toc151887776 \h </w:instrText>
          </w:r>
          <w:r>
            <w:fldChar w:fldCharType="separate"/>
          </w:r>
          <w:r>
            <w:t>115</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"_Toc151887777" </w:instrText>
          </w:r>
          <w:r>
            <w:fldChar w:fldCharType="separate"/>
          </w:r>
          <w:r>
            <w:rPr>
              <w:rStyle w:val="23"/>
              <w:lang w:eastAsia="zh-CN"/>
            </w:rPr>
            <w:t>（二）各专业就业职业分布</w:t>
          </w:r>
          <w:r>
            <w:tab/>
          </w:r>
          <w:r>
            <w:fldChar w:fldCharType="begin"/>
          </w:r>
          <w:r>
            <w:instrText xml:space="preserve"> PAGEREF _Toc151887777 \h </w:instrText>
          </w:r>
          <w:r>
            <w:fldChar w:fldCharType="separate"/>
          </w:r>
          <w:r>
            <w:t>116</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"_Toc151887778" </w:instrText>
          </w:r>
          <w:r>
            <w:fldChar w:fldCharType="separate"/>
          </w:r>
          <w:r>
            <w:rPr>
              <w:rStyle w:val="23"/>
              <w:lang w:eastAsia="zh-CN"/>
            </w:rPr>
            <w:t>（三）主要就业职业就业质量差异分析</w:t>
          </w:r>
          <w:r>
            <w:tab/>
          </w:r>
          <w:r>
            <w:fldChar w:fldCharType="begin"/>
          </w:r>
          <w:r>
            <w:instrText xml:space="preserve"> PAGEREF _Toc151887778 \h </w:instrText>
          </w:r>
          <w:r>
            <w:fldChar w:fldCharType="separate"/>
          </w:r>
          <w:r>
            <w:t>118</w:t>
          </w:r>
          <w:r>
            <w:fldChar w:fldCharType="end"/>
          </w:r>
          <w:r>
            <w:fldChar w:fldCharType="end"/>
          </w:r>
        </w:p>
        <w:p>
          <w:pPr>
            <w:pStyle w:val="13"/>
            <w:tabs>
              <w:tab w:val="right" w:leader="dot" w:pos="9736"/>
            </w:tabs>
            <w:ind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"_Toc151887779" </w:instrText>
          </w:r>
          <w:r>
            <w:fldChar w:fldCharType="separate"/>
          </w:r>
          <w:r>
            <w:rPr>
              <w:rStyle w:val="23"/>
              <w:lang w:eastAsia="zh-CN"/>
            </w:rPr>
            <w:t>四、就业单位特色</w:t>
          </w:r>
          <w:r>
            <w:tab/>
          </w:r>
          <w:r>
            <w:fldChar w:fldCharType="begin"/>
          </w:r>
          <w:r>
            <w:instrText xml:space="preserve"> PAGEREF _Toc151887779 \h </w:instrText>
          </w:r>
          <w:r>
            <w:fldChar w:fldCharType="separate"/>
          </w:r>
          <w:r>
            <w:t>120</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"_Toc151887780" </w:instrText>
          </w:r>
          <w:r>
            <w:fldChar w:fldCharType="separate"/>
          </w:r>
          <w:r>
            <w:rPr>
              <w:rStyle w:val="23"/>
              <w:lang w:eastAsia="zh-CN"/>
            </w:rPr>
            <w:t>（一）各学院就业单位分布</w:t>
          </w:r>
          <w:r>
            <w:tab/>
          </w:r>
          <w:r>
            <w:fldChar w:fldCharType="begin"/>
          </w:r>
          <w:r>
            <w:instrText xml:space="preserve"> PAGEREF _Toc151887780 \h </w:instrText>
          </w:r>
          <w:r>
            <w:fldChar w:fldCharType="separate"/>
          </w:r>
          <w:r>
            <w:t>121</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"_Toc151887781" </w:instrText>
          </w:r>
          <w:r>
            <w:fldChar w:fldCharType="separate"/>
          </w:r>
          <w:r>
            <w:rPr>
              <w:rStyle w:val="23"/>
              <w:lang w:eastAsia="zh-CN"/>
            </w:rPr>
            <w:t>（二）各专业就业单位分布</w:t>
          </w:r>
          <w:r>
            <w:tab/>
          </w:r>
          <w:r>
            <w:fldChar w:fldCharType="begin"/>
          </w:r>
          <w:r>
            <w:instrText xml:space="preserve"> PAGEREF _Toc151887781 \h </w:instrText>
          </w:r>
          <w:r>
            <w:fldChar w:fldCharType="separate"/>
          </w:r>
          <w:r>
            <w:t>122</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"_Toc151887782" </w:instrText>
          </w:r>
          <w:r>
            <w:fldChar w:fldCharType="separate"/>
          </w:r>
          <w:r>
            <w:rPr>
              <w:rStyle w:val="23"/>
              <w:lang w:eastAsia="zh-CN"/>
            </w:rPr>
            <w:t>（三）主要就业单位就业质量差异分析</w:t>
          </w:r>
          <w:r>
            <w:tab/>
          </w:r>
          <w:r>
            <w:fldChar w:fldCharType="begin"/>
          </w:r>
          <w:r>
            <w:instrText xml:space="preserve"> PAGEREF _Toc151887782 \h </w:instrText>
          </w:r>
          <w:r>
            <w:fldChar w:fldCharType="separate"/>
          </w:r>
          <w:r>
            <w:t>124</w:t>
          </w:r>
          <w:r>
            <w:fldChar w:fldCharType="end"/>
          </w:r>
          <w:r>
            <w:fldChar w:fldCharType="end"/>
          </w:r>
        </w:p>
        <w:p>
          <w:pPr>
            <w:pStyle w:val="17"/>
            <w:tabs>
              <w:tab w:val="right" w:leader="dot" w:pos="9736"/>
            </w:tabs>
            <w:ind w:left="640"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"_Toc151887783" </w:instrText>
          </w:r>
          <w:r>
            <w:fldChar w:fldCharType="separate"/>
          </w:r>
          <w:r>
            <w:rPr>
              <w:rStyle w:val="23"/>
              <w:rFonts w:eastAsia="黑体"/>
              <w:b/>
              <w:bCs/>
              <w:lang w:eastAsia="zh-CN"/>
            </w:rPr>
            <w:t>第三章  深造与创业</w:t>
          </w:r>
          <w:r>
            <w:tab/>
          </w:r>
          <w:r>
            <w:fldChar w:fldCharType="begin"/>
          </w:r>
          <w:r>
            <w:instrText xml:space="preserve"> PAGEREF _Toc151887783 \h </w:instrText>
          </w:r>
          <w:r>
            <w:fldChar w:fldCharType="separate"/>
          </w:r>
          <w:r>
            <w:t>127</w:t>
          </w:r>
          <w:r>
            <w:fldChar w:fldCharType="end"/>
          </w:r>
          <w:r>
            <w:fldChar w:fldCharType="end"/>
          </w:r>
        </w:p>
        <w:p>
          <w:pPr>
            <w:pStyle w:val="13"/>
            <w:tabs>
              <w:tab w:val="right" w:leader="dot" w:pos="9736"/>
            </w:tabs>
            <w:ind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"_Toc151887784" </w:instrText>
          </w:r>
          <w:r>
            <w:fldChar w:fldCharType="separate"/>
          </w:r>
          <w:r>
            <w:rPr>
              <w:rStyle w:val="23"/>
              <w:lang w:eastAsia="zh-CN"/>
            </w:rPr>
            <w:t>一、国内升学</w:t>
          </w:r>
          <w:r>
            <w:tab/>
          </w:r>
          <w:r>
            <w:fldChar w:fldCharType="begin"/>
          </w:r>
          <w:r>
            <w:instrText xml:space="preserve"> PAGEREF _Toc151887784 \h </w:instrText>
          </w:r>
          <w:r>
            <w:fldChar w:fldCharType="separate"/>
          </w:r>
          <w:r>
            <w:t>127</w:t>
          </w:r>
          <w:r>
            <w:fldChar w:fldCharType="end"/>
          </w:r>
          <w:r>
            <w:fldChar w:fldCharType="end"/>
          </w:r>
        </w:p>
        <w:p>
          <w:pPr>
            <w:pStyle w:val="13"/>
            <w:tabs>
              <w:tab w:val="right" w:leader="dot" w:pos="9736"/>
            </w:tabs>
            <w:ind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"_Toc151887785" </w:instrText>
          </w:r>
          <w:r>
            <w:fldChar w:fldCharType="separate"/>
          </w:r>
          <w:r>
            <w:rPr>
              <w:rStyle w:val="23"/>
              <w:lang w:eastAsia="zh-CN"/>
            </w:rPr>
            <w:t>二、出国/出境留学</w:t>
          </w:r>
          <w:r>
            <w:tab/>
          </w:r>
          <w:r>
            <w:fldChar w:fldCharType="begin"/>
          </w:r>
          <w:r>
            <w:instrText xml:space="preserve"> PAGEREF _Toc151887785 \h </w:instrText>
          </w:r>
          <w:r>
            <w:fldChar w:fldCharType="separate"/>
          </w:r>
          <w:r>
            <w:t>129</w:t>
          </w:r>
          <w:r>
            <w:fldChar w:fldCharType="end"/>
          </w:r>
          <w:r>
            <w:fldChar w:fldCharType="end"/>
          </w:r>
        </w:p>
        <w:p>
          <w:pPr>
            <w:pStyle w:val="13"/>
            <w:tabs>
              <w:tab w:val="right" w:leader="dot" w:pos="9736"/>
            </w:tabs>
            <w:ind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"_Toc151887786" </w:instrText>
          </w:r>
          <w:r>
            <w:fldChar w:fldCharType="separate"/>
          </w:r>
          <w:r>
            <w:rPr>
              <w:rStyle w:val="23"/>
              <w:lang w:eastAsia="zh-CN"/>
            </w:rPr>
            <w:t>三、创业基本情况</w:t>
          </w:r>
          <w:r>
            <w:tab/>
          </w:r>
          <w:r>
            <w:fldChar w:fldCharType="begin"/>
          </w:r>
          <w:r>
            <w:instrText xml:space="preserve"> PAGEREF _Toc151887786 \h </w:instrText>
          </w:r>
          <w:r>
            <w:fldChar w:fldCharType="separate"/>
          </w:r>
          <w:r>
            <w:t>131</w:t>
          </w:r>
          <w:r>
            <w:fldChar w:fldCharType="end"/>
          </w:r>
          <w:r>
            <w:fldChar w:fldCharType="end"/>
          </w:r>
        </w:p>
        <w:p>
          <w:pPr>
            <w:pStyle w:val="13"/>
            <w:tabs>
              <w:tab w:val="right" w:leader="dot" w:pos="9736"/>
            </w:tabs>
            <w:ind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"_Toc151887787" </w:instrText>
          </w:r>
          <w:r>
            <w:fldChar w:fldCharType="separate"/>
          </w:r>
          <w:r>
            <w:rPr>
              <w:rStyle w:val="23"/>
              <w:rFonts w:ascii="宋体" w:hAnsi="宋体" w:eastAsia="宋体" w:cs="宋体"/>
              <w:spacing w:val="10"/>
              <w:lang w:eastAsia="zh-CN"/>
              <w14:textOutline w14:w="7975" w14:cap="sq" w14:cmpd="sng" w14:algn="ctr">
                <w14:solidFill>
                  <w14:srgbClr w14:val="000000"/>
                </w14:solidFill>
                <w14:prstDash w14:val="solid"/>
                <w14:bevel/>
              </w14:textOutline>
            </w:rPr>
            <w:t>第五部分：毕业生就业面临的挑战和发展</w:t>
          </w:r>
          <w:r>
            <w:tab/>
          </w:r>
          <w:r>
            <w:fldChar w:fldCharType="begin"/>
          </w:r>
          <w:r>
            <w:instrText xml:space="preserve"> PAGEREF _Toc151887787 \h </w:instrText>
          </w:r>
          <w:r>
            <w:fldChar w:fldCharType="separate"/>
          </w:r>
          <w:r>
            <w:t>134</w:t>
          </w:r>
          <w:r>
            <w:fldChar w:fldCharType="end"/>
          </w:r>
          <w:r>
            <w:fldChar w:fldCharType="end"/>
          </w:r>
        </w:p>
        <w:p>
          <w:pPr>
            <w:pStyle w:val="13"/>
            <w:tabs>
              <w:tab w:val="right" w:leader="dot" w:pos="9736"/>
            </w:tabs>
            <w:ind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"_Toc151887788" </w:instrText>
          </w:r>
          <w:r>
            <w:fldChar w:fldCharType="separate"/>
          </w:r>
          <w:r>
            <w:rPr>
              <w:rStyle w:val="23"/>
              <w:lang w:eastAsia="zh-CN"/>
            </w:rPr>
            <w:t>一、面临挑战</w:t>
          </w:r>
          <w:r>
            <w:tab/>
          </w:r>
          <w:r>
            <w:fldChar w:fldCharType="begin"/>
          </w:r>
          <w:r>
            <w:instrText xml:space="preserve"> PAGEREF _Toc151887788 \h </w:instrText>
          </w:r>
          <w:r>
            <w:fldChar w:fldCharType="separate"/>
          </w:r>
          <w:r>
            <w:t>134</w:t>
          </w:r>
          <w:r>
            <w:fldChar w:fldCharType="end"/>
          </w:r>
          <w:r>
            <w:fldChar w:fldCharType="end"/>
          </w:r>
        </w:p>
        <w:p>
          <w:pPr>
            <w:pStyle w:val="13"/>
            <w:tabs>
              <w:tab w:val="right" w:leader="dot" w:pos="9736"/>
            </w:tabs>
            <w:ind w:firstLine="640"/>
            <w:rPr>
              <w:rFonts w:asciiTheme="minorHAnsi" w:hAnsiTheme="minorHAnsi" w:eastAsiaTheme="minorEastAsia" w:cstheme="minorBidi"/>
              <w:snapToGrid/>
              <w:color w:val="auto"/>
              <w:kern w:val="2"/>
              <w:sz w:val="21"/>
              <w:szCs w:val="22"/>
              <w:lang w:eastAsia="zh-CN"/>
              <w14:ligatures w14:val="standardContextual"/>
            </w:rPr>
          </w:pPr>
          <w:r>
            <w:fldChar w:fldCharType="begin"/>
          </w:r>
          <w:r>
            <w:instrText xml:space="preserve"> HYPERLINK \l "_Toc151887789" </w:instrText>
          </w:r>
          <w:r>
            <w:fldChar w:fldCharType="separate"/>
          </w:r>
          <w:r>
            <w:rPr>
              <w:rStyle w:val="23"/>
              <w:lang w:eastAsia="zh-CN"/>
            </w:rPr>
            <w:t>二、发展思路</w:t>
          </w:r>
          <w:r>
            <w:tab/>
          </w:r>
          <w:r>
            <w:fldChar w:fldCharType="begin"/>
          </w:r>
          <w:r>
            <w:instrText xml:space="preserve"> PAGEREF _Toc151887789 \h </w:instrText>
          </w:r>
          <w:r>
            <w:fldChar w:fldCharType="separate"/>
          </w:r>
          <w:r>
            <w:t>134</w:t>
          </w:r>
          <w:r>
            <w:fldChar w:fldCharType="end"/>
          </w:r>
          <w:r>
            <w:fldChar w:fldCharType="end"/>
          </w:r>
        </w:p>
        <w:p>
          <w:pPr>
            <w:ind w:firstLine="640"/>
          </w:pPr>
          <w:r>
            <w:fldChar w:fldCharType="end"/>
          </w:r>
        </w:p>
      </w:sdtContent>
    </w:sdt>
    <w:p>
      <w:pPr>
        <w:ind w:firstLine="880"/>
        <w:rPr>
          <w:rFonts w:ascii="宋体" w:hAnsi="宋体" w:eastAsia="宋体" w:cs="宋体"/>
          <w:spacing w:val="10"/>
          <w:sz w:val="43"/>
          <w:szCs w:val="43"/>
          <w14:textOutline w14:w="7975" w14:cap="sq" w14:cmpd="sng" w14:algn="ctr">
            <w14:solidFill>
              <w14:srgbClr w14:val="000000"/>
            </w14:solidFill>
            <w14:prstDash w14:val="solid"/>
            <w14:bevel/>
          </w14:textOutline>
        </w:rPr>
      </w:pPr>
      <w:r>
        <w:rPr>
          <w:rFonts w:ascii="宋体" w:hAnsi="宋体" w:eastAsia="宋体" w:cs="宋体"/>
          <w:spacing w:val="10"/>
          <w:sz w:val="43"/>
          <w:szCs w:val="43"/>
          <w14:textOutline w14:w="7975" w14:cap="sq" w14:cmpd="sng" w14:algn="ctr">
            <w14:solidFill>
              <w14:srgbClr w14:val="000000"/>
            </w14:solidFill>
            <w14:prstDash w14:val="solid"/>
            <w14:bevel/>
          </w14:textOutline>
        </w:rPr>
        <w:br w:type="page"/>
      </w:r>
    </w:p>
    <w:p>
      <w:pPr>
        <w:spacing w:before="139" w:line="223" w:lineRule="auto"/>
        <w:ind w:firstLine="0" w:firstLineChars="0"/>
        <w:jc w:val="both"/>
        <w:outlineLvl w:val="0"/>
        <w:rPr>
          <w:rFonts w:ascii="宋体" w:hAnsi="宋体" w:eastAsia="宋体" w:cs="宋体"/>
          <w:spacing w:val="10"/>
          <w:sz w:val="43"/>
          <w:szCs w:val="43"/>
          <w:lang w:eastAsia="zh-CN"/>
          <w14:textOutline w14:w="7975" w14:cap="sq" w14:cmpd="sng" w14:algn="ctr">
            <w14:solidFill>
              <w14:srgbClr w14:val="000000"/>
            </w14:solidFill>
            <w14:prstDash w14:val="solid"/>
            <w14:bevel/>
          </w14:textOutline>
        </w:rPr>
      </w:pPr>
      <w:bookmarkStart w:id="0" w:name="_Toc151887665"/>
      <w:r>
        <w:rPr>
          <w:rFonts w:hint="eastAsia" w:ascii="宋体" w:hAnsi="宋体" w:eastAsia="宋体" w:cs="宋体"/>
          <w:spacing w:val="10"/>
          <w:sz w:val="43"/>
          <w:szCs w:val="43"/>
          <w:lang w:eastAsia="zh-CN"/>
          <w14:textOutline w14:w="7975" w14:cap="sq" w14:cmpd="sng" w14:algn="ctr">
            <w14:solidFill>
              <w14:srgbClr w14:val="000000"/>
            </w14:solidFill>
            <w14:prstDash w14:val="solid"/>
            <w14:bevel/>
          </w14:textOutline>
        </w:rPr>
        <w:t>学校概况</w:t>
      </w:r>
      <w:bookmarkEnd w:id="0"/>
    </w:p>
    <w:p>
      <w:pPr>
        <w:pStyle w:val="25"/>
        <w:rPr>
          <w:lang w:val="en-US"/>
        </w:rPr>
      </w:pPr>
    </w:p>
    <w:p>
      <w:pPr>
        <w:ind w:firstLine="640"/>
        <w:rPr>
          <w:lang w:eastAsia="zh-CN"/>
        </w:rPr>
      </w:pPr>
      <w:r>
        <w:rPr>
          <w:lang w:eastAsia="zh-CN"/>
        </w:rPr>
        <w:t>海南科技职业大学是海南省唯一一所本科层次职业教育试点改革院校，是全国首批本科层次职业大学。学校于</w:t>
      </w:r>
      <w:r>
        <w:rPr>
          <w:rFonts w:hint="eastAsia"/>
          <w:lang w:eastAsia="zh-CN"/>
        </w:rPr>
        <w:t>2006年在原中央美术学院海口校区基础上筹办，2008年开始招收统招大专生，2019年开始招收统招本科生，承担着职业本科教育试点改革的重要任务。学校落实“立德树人”根本任务，坚持为党育人、为国育才，秉承“科学、务实、厚德、创新”校训和“人才强校、质量立校、特色兴校”的办学理念，紧紧围绕服务国家战略、海南自贸港建设和海南重点产业需求，开展“三全育人”“德技并修”“五育并举”等育人模式，以就业为导向，为海南自贸港建设和海南经济社会发展培养服务高端产业和高端岗位的高层次技术技能人才。</w:t>
      </w:r>
    </w:p>
    <w:p>
      <w:pPr>
        <w:ind w:firstLine="640"/>
        <w:rPr>
          <w:lang w:eastAsia="zh-CN"/>
        </w:rPr>
      </w:pPr>
      <w:r>
        <w:rPr>
          <w:rFonts w:hint="eastAsia"/>
          <w:lang w:eastAsia="zh-CN"/>
        </w:rPr>
        <w:t>在海南省委、省政府、省教育厅的正确领导下，学校发展为海南省“双高”建设院校，首批全国急救教育试点学校，全国职业院校数字校园建设示范校，教育部“1+X”职业技能等级证书改革试点学校，教育部规建中心“产教融合应用型课程改革实验学校”，中国残联、教育部批准的“海南省残疾人康复指导中心”，教育部、国家卫健委、民政部首批“全国职业院校健康服务与管理类专业示范点”。</w:t>
      </w:r>
    </w:p>
    <w:p>
      <w:pPr>
        <w:ind w:firstLine="640"/>
        <w:rPr>
          <w:lang w:eastAsia="zh-CN"/>
        </w:rPr>
      </w:pPr>
      <w:r>
        <w:rPr>
          <w:rFonts w:hint="eastAsia"/>
          <w:lang w:eastAsia="zh-CN"/>
        </w:rPr>
        <w:t>学校2022年4月获得学士学位授权单位，目前已有26个本科专业获得了学士学位授权；2022年12月获批为海南省新增硕士学位授予立项建设单位，立项建设“电子信息、材料与化工、机械、交通运输”四个专业学位硕士点。学生学科和技能竞赛成绩在2022年高等教育学会发布的全国高职院校学生竞赛排行榜排名进入前200名，居2021年全国民办本科职业大学第一名；民办高职院校教师教学发展指数排名位居榜首，是全国排名第一的民办职业本科大学；荣获“2022年度综合实力品牌高校”“2022年度职业院校知名品牌”“中国民办十大知名品牌学校”等称号。在中国科教评价网（金平果）和中国校友会发布的职业本科大学综合竞争力排行榜连续三年位列民办职业本科大学第一；在中国大学排行榜（CNUR）2023年ABC中国职业本科大学排名中位列全国职业本科高校前三、民办职业本科高校第一。</w:t>
      </w:r>
    </w:p>
    <w:p>
      <w:pPr>
        <w:spacing w:before="120" w:beforeLines="50" w:after="120" w:afterLines="50"/>
        <w:ind w:firstLine="640"/>
        <w:rPr>
          <w:rFonts w:ascii="黑体" w:hAnsi="黑体" w:eastAsia="黑体" w:cs="黑体"/>
          <w:lang w:eastAsia="zh-CN"/>
        </w:rPr>
      </w:pPr>
      <w:r>
        <w:rPr>
          <w:rFonts w:hint="eastAsia" w:ascii="黑体" w:hAnsi="黑体" w:eastAsia="黑体" w:cs="黑体"/>
          <w:lang w:eastAsia="zh-CN"/>
        </w:rPr>
        <w:t>一、不断优化办学条件，基础雄厚</w:t>
      </w:r>
    </w:p>
    <w:p>
      <w:pPr>
        <w:ind w:firstLine="640"/>
        <w:rPr>
          <w:lang w:eastAsia="zh-CN"/>
        </w:rPr>
      </w:pPr>
      <w:r>
        <w:rPr>
          <w:rFonts w:hint="eastAsia"/>
          <w:lang w:eastAsia="zh-CN"/>
        </w:rPr>
        <w:t>学校位于海南省海口市，截至2023年9月，学校在校生26776人，其中4年制本科生8752人，2年制本科生4896人。占地面积2161亩，建筑面积61.77万㎡。</w:t>
      </w:r>
    </w:p>
    <w:p>
      <w:pPr>
        <w:ind w:firstLine="640"/>
        <w:rPr>
          <w:lang w:eastAsia="zh-CN"/>
        </w:rPr>
      </w:pPr>
      <w:r>
        <w:rPr>
          <w:rFonts w:hint="eastAsia"/>
          <w:lang w:eastAsia="zh-CN"/>
        </w:rPr>
        <w:t>教学、科研仪器设备资产总值2.7亿元；有纸质图书246.04万册，电子图书183万册，折合图书近410万册，购置了深图ILAS借阅系统、知网、维普考试平台、超星等学术平台瀑布流电子显示选书预阅屏4套，实现了多种资源一站式检索以及Wi-Fi全覆盖，图书馆有9000多个座位，其中电子阅览座位360多个；学校现有2个国政馆，2个心理咨询室；建有智慧教室256间，多媒体教室398间，机房92间，计算机5485台，智慧树精品录播室4间，建设能容纳6000门课程私有云平台，有“走进海科”实践教学督学组、评教组、摄影组，建有数字教学管理平台；建有开放实训室9000多平方米，263个（389间）校内实训、实验室及VR实验室（制作并完成24个VR实训项目），设备先进、设施齐全、硬件优越，具有良好的办学条件。</w:t>
      </w:r>
    </w:p>
    <w:p>
      <w:pPr>
        <w:ind w:firstLine="640"/>
        <w:rPr>
          <w:lang w:eastAsia="zh-CN"/>
        </w:rPr>
      </w:pPr>
      <w:r>
        <w:rPr>
          <w:rFonts w:hint="eastAsia"/>
          <w:lang w:eastAsia="zh-CN"/>
        </w:rPr>
        <w:t>此外，学校还与海南汉地阳光石油化工有限公司、海南呀诺达圆融旅业股份有限公司、东方傲立石化有限公司、厦门天马微电子有限公司、海医第二附属医院、海口市第三人民医院等247家省内外企业共建校外实习实训基地，其中省内企业176家。</w:t>
      </w:r>
    </w:p>
    <w:p>
      <w:pPr>
        <w:spacing w:before="120" w:beforeLines="50" w:after="120" w:afterLines="50"/>
        <w:ind w:firstLine="640"/>
        <w:rPr>
          <w:rFonts w:ascii="黑体" w:hAnsi="黑体" w:eastAsia="黑体" w:cs="黑体"/>
          <w:lang w:eastAsia="zh-CN"/>
        </w:rPr>
      </w:pPr>
      <w:r>
        <w:rPr>
          <w:rFonts w:hint="eastAsia" w:ascii="黑体" w:hAnsi="黑体" w:eastAsia="黑体" w:cs="黑体"/>
          <w:lang w:eastAsia="zh-CN"/>
        </w:rPr>
        <w:t>二、深化“产教融合、校企合作”，成效显著</w:t>
      </w:r>
    </w:p>
    <w:p>
      <w:pPr>
        <w:ind w:firstLine="640"/>
        <w:rPr>
          <w:lang w:eastAsia="zh-CN"/>
        </w:rPr>
      </w:pPr>
      <w:r>
        <w:rPr>
          <w:rFonts w:hint="eastAsia"/>
          <w:lang w:eastAsia="zh-CN"/>
        </w:rPr>
        <w:t>学校深化“产教融合、校企合作”，推动“三驱协同、三企入校、三师共育”的人才培养模式改革，与企业共同制定人才培养方案，实现校企双主体育人。成果《深化校企合作，全方位立体化提升工科技能型人才培养质量》《“三驱协同”“三企入校”“三师共育”高等职业人才培养模式的创新与实践》分别获2017年、2020年海南省高等教育省级教学成果奖二等奖；《精准对接职教属性，创新“一主两翼特色化”职教育人模式》获2020年海南省高等教育省级教学成果奖一等奖。《基于三标、三通、三阶以国际标准培养培训现代船员的路径创新与实践》《智慧职教背景下1+N资源多维共享的OMO教学模式创新与实践》分别荣获2022年海南省高等教育省级教学成果一、二等奖。学校的人才培养模式改革成果分别在近两届省级教学成果奖评选中获得省级一、二等奖。</w:t>
      </w:r>
    </w:p>
    <w:p>
      <w:pPr>
        <w:ind w:firstLine="640"/>
        <w:rPr>
          <w:lang w:eastAsia="zh-CN"/>
        </w:rPr>
      </w:pPr>
      <w:r>
        <w:rPr>
          <w:rFonts w:hint="eastAsia"/>
          <w:lang w:eastAsia="zh-CN"/>
        </w:rPr>
        <w:t>自2019年开始承担教育部产学合作协同育人项目92项；开展校企合作技术开发30余项，其中校内孵化项目包括健康智慧食堂软件开发与成果转化、水上环境勘探设备技术与成果转化、门禁系统物业维修管理收费系统、电子秤、健康食谱热量分析专利成果转化等。每年专任教师参加教改科研、校企合作项目约600人次。</w:t>
      </w:r>
    </w:p>
    <w:p>
      <w:pPr>
        <w:spacing w:before="120" w:beforeLines="50" w:after="120" w:afterLines="50"/>
        <w:ind w:firstLine="640"/>
        <w:rPr>
          <w:rFonts w:ascii="黑体" w:hAnsi="黑体" w:eastAsia="黑体" w:cs="黑体"/>
          <w:lang w:eastAsia="zh-CN"/>
        </w:rPr>
      </w:pPr>
      <w:r>
        <w:rPr>
          <w:rFonts w:hint="eastAsia" w:ascii="黑体" w:hAnsi="黑体" w:eastAsia="黑体" w:cs="黑体"/>
          <w:lang w:eastAsia="zh-CN"/>
        </w:rPr>
        <w:t>三、形成职业本科专业新格局，力量雄厚</w:t>
      </w:r>
    </w:p>
    <w:p>
      <w:pPr>
        <w:ind w:firstLine="640"/>
        <w:rPr>
          <w:lang w:eastAsia="zh-CN"/>
        </w:rPr>
      </w:pPr>
      <w:r>
        <w:rPr>
          <w:rFonts w:hint="eastAsia"/>
          <w:lang w:eastAsia="zh-CN"/>
        </w:rPr>
        <w:t>学校建成了以应用化工技术、航海技术、机械设计制造及自动化、物联网工程技术等工科为主，兼顾医学、管理学等学科专业协调发展的专业体系；紧紧围绕海南自贸港建设聚焦发展的旅游业、现代服务业和高新技术三大主导产业及11个重点园区发展的需求设置专业，现有26个本科专业。有国家级骨干专业2个（航海技术、健康管理），省级特色专业1个（石油化工技术），省级骨干专业2个（航海技术、健康管理）；海南省高水平专业群2个（计算机网络技术和航海技术）；省级特色重点学科3个（计算机科学与技术、机械工程、交通运输工程）。</w:t>
      </w:r>
    </w:p>
    <w:p>
      <w:pPr>
        <w:spacing w:before="120" w:beforeLines="50" w:after="120" w:afterLines="50"/>
        <w:ind w:firstLine="640"/>
        <w:rPr>
          <w:rFonts w:ascii="黑体" w:hAnsi="黑体" w:eastAsia="黑体" w:cs="黑体"/>
          <w:lang w:eastAsia="zh-CN"/>
        </w:rPr>
      </w:pPr>
      <w:r>
        <w:rPr>
          <w:rFonts w:hint="eastAsia" w:ascii="黑体" w:hAnsi="黑体" w:eastAsia="黑体" w:cs="黑体"/>
          <w:lang w:eastAsia="zh-CN"/>
        </w:rPr>
        <w:t>四、加大人才引进，突出职教特色，拥有“双师型”教师队伍</w:t>
      </w:r>
    </w:p>
    <w:p>
      <w:pPr>
        <w:ind w:firstLine="640"/>
        <w:rPr>
          <w:lang w:eastAsia="zh-CN"/>
        </w:rPr>
      </w:pPr>
      <w:r>
        <w:rPr>
          <w:rFonts w:hint="eastAsia"/>
          <w:lang w:eastAsia="zh-CN"/>
        </w:rPr>
        <w:t>学校现有专任教师1340人，兼任教师470人，生师比17:1；其中教授、副教授416人，占比31.04%；具有硕士及以上学位教师946人，占比70.6%；专业专任教师1072人中博士268人，占比25%,“双师型”教师708人，占比66.04%。</w:t>
      </w:r>
    </w:p>
    <w:p>
      <w:pPr>
        <w:ind w:firstLine="640"/>
        <w:rPr>
          <w:lang w:eastAsia="zh-CN"/>
        </w:rPr>
      </w:pPr>
      <w:r>
        <w:rPr>
          <w:rFonts w:hint="eastAsia"/>
          <w:lang w:eastAsia="zh-CN"/>
        </w:rPr>
        <w:t>海事学院黎冬楼教授入选2020年全国首批高等职业学校“双师型”教师个人专业发展典型案例；海南科技职业大学入选2020年全国职业院校“双师型”教师队伍建设典型案例；2022年，应用化工技术团队和大数据工程技术团队获批为海南省首批职业院校教师教学创新团队（全省7个）。多名教师分别获得“南海工匠”“国家技能人才培育突出贡献个人”“海南青年五四奖章”“海南省优秀教师”“海南省优秀教育工作者”等荣誉称号，入选教育部新时代职业学校名师（名匠）培养计划；124名教师成为海南省高层次人才，54名中青年教师分别被海南师范大学、延安大学聘为兼职专业硕士生导师。学校鼓励校领导、学院院长、副院长利用假期招聘博士研究生，签订目标任务书。</w:t>
      </w:r>
    </w:p>
    <w:p>
      <w:pPr>
        <w:ind w:firstLine="640"/>
        <w:rPr>
          <w:lang w:eastAsia="zh-CN"/>
        </w:rPr>
      </w:pPr>
      <w:r>
        <w:rPr>
          <w:rFonts w:hint="eastAsia"/>
          <w:lang w:eastAsia="zh-CN"/>
        </w:rPr>
        <w:t>学校连续五年普调教职工工资，仅2023年硕士研究生月工资增加2000多元，博士研究生月工资增加5000多元。2023年1月—10月，全校教职工工资福利、社保支出1.3亿元，第二次工资福利超过1600万元，专职教职工人均年工资福利、社保达10万元。</w:t>
      </w:r>
    </w:p>
    <w:p>
      <w:pPr>
        <w:spacing w:before="120" w:beforeLines="50" w:after="120" w:afterLines="50"/>
        <w:ind w:firstLine="640"/>
        <w:rPr>
          <w:rFonts w:ascii="黑体" w:hAnsi="黑体" w:eastAsia="黑体" w:cs="黑体"/>
          <w:lang w:eastAsia="zh-CN"/>
        </w:rPr>
      </w:pPr>
      <w:r>
        <w:rPr>
          <w:rFonts w:hint="eastAsia" w:ascii="黑体" w:hAnsi="黑体" w:eastAsia="黑体" w:cs="黑体"/>
          <w:lang w:eastAsia="zh-CN"/>
        </w:rPr>
        <w:t>五、依托科研平台作用，服务于海南区域经济</w:t>
      </w:r>
    </w:p>
    <w:p>
      <w:pPr>
        <w:ind w:firstLine="640"/>
        <w:rPr>
          <w:lang w:eastAsia="zh-CN"/>
        </w:rPr>
      </w:pPr>
      <w:r>
        <w:rPr>
          <w:rFonts w:hint="eastAsia"/>
          <w:lang w:eastAsia="zh-CN"/>
        </w:rPr>
        <w:t>学校发挥海南自由贸易港国际航运发展与物权数字化重点实验室、虚拟现实技术与系统海南省工程研究中心、海南省特种机器人工程技术研究中心、海南省老年健康管理工程技术研究中心、海南省药食同源植物资源重点实验室、中央财政支持的石油化工技术专业职业教育实训基地、海南省残疾人康复指导中心、海南省高校特色实训教学示范中心、海南海科石油化工产品检测中心等省级技术研发推广平台的作用，面向区域、行业、企业开展科研、技术研发、提供社会服务。仅2023年为政府、行业、企业培训4万多人次。</w:t>
      </w:r>
    </w:p>
    <w:p>
      <w:pPr>
        <w:ind w:firstLine="640"/>
        <w:rPr>
          <w:lang w:eastAsia="zh-CN"/>
        </w:rPr>
      </w:pPr>
      <w:r>
        <w:rPr>
          <w:rFonts w:hint="eastAsia"/>
          <w:lang w:eastAsia="zh-CN"/>
        </w:rPr>
        <w:t>学校2022年获批18项海南省教育教学改革研究项目。获批立项省自然基金5项、省社科基金10项、教育部产学合作协同育人项目20项、教育部北创助教项目4项，“海南自由贸易港国际航运发展与物权数字化重点实验室”获批海南省首批哲学社会科学重点实验室（海南仅5所高校获批）。近3年来，学校教师主持各级纵向科研课题250项，其中省级及以上课题150项；获教育部产学合作协同育人项目50项；公开发表学术论文778篇，其中国内外核心期刊收录207篇（SCI收录101篇）；出版专著50部，获国家专利授权200项。学校师生申请获批软件著作权265项，完成区域经济发展的咨询报告6篇。学校目前与海南龙头企业和省外企业240余家签订了校企深度合作协议，与我校共同开发校企合作教材的企业55家，已出版校企合作教材55部，开展校企合作技术开发20余项，有30多项软件开发与成果转化，另外2022年校企合作到账资金1700多万元。</w:t>
      </w:r>
    </w:p>
    <w:p>
      <w:pPr>
        <w:pStyle w:val="25"/>
      </w:pPr>
    </w:p>
    <w:p>
      <w:pPr>
        <w:pStyle w:val="25"/>
      </w:pPr>
    </w:p>
    <w:p>
      <w:pPr>
        <w:spacing w:before="120" w:beforeLines="50" w:after="120" w:afterLines="50"/>
        <w:ind w:firstLine="640"/>
        <w:rPr>
          <w:rFonts w:ascii="黑体" w:hAnsi="黑体" w:eastAsia="黑体" w:cs="黑体"/>
          <w:lang w:eastAsia="zh-CN"/>
        </w:rPr>
      </w:pPr>
      <w:r>
        <w:rPr>
          <w:rFonts w:hint="eastAsia" w:ascii="黑体" w:hAnsi="黑体" w:eastAsia="黑体" w:cs="黑体"/>
          <w:lang w:eastAsia="zh-CN"/>
        </w:rPr>
        <w:t>六、改革人才培养方案，课程建设开新篇</w:t>
      </w:r>
    </w:p>
    <w:p>
      <w:pPr>
        <w:ind w:firstLine="640"/>
        <w:rPr>
          <w:lang w:eastAsia="zh-CN"/>
        </w:rPr>
      </w:pPr>
      <w:r>
        <w:rPr>
          <w:rFonts w:hint="eastAsia"/>
          <w:lang w:eastAsia="zh-CN"/>
        </w:rPr>
        <w:t>2019年，学校获批为教育部学校规划建设发展中心指导的“产教融合应用型课程改革实验学校”，在中心的协助下，选聘职教权威专家进校，审核职业本科各专业人才培养方案，指导课程体系建设和“产教融合应用型课程建设”，截至目前共建设了750门职业本科产教融合型课程，其中获批国家级精品课程2门，国家级MOOC课程1门，省级一流课程1门，省级精品在线共享课程9门。2023年开始人才培养方案计划内增加每生每学期1项专业技能培训课程免收培育费并由学校支付每生每学期1项人社厅认可的技能培训项目考证费。</w:t>
      </w:r>
    </w:p>
    <w:p>
      <w:pPr>
        <w:spacing w:before="120" w:beforeLines="50" w:after="120" w:afterLines="50"/>
        <w:ind w:firstLine="640"/>
        <w:rPr>
          <w:rFonts w:ascii="黑体" w:hAnsi="黑体" w:eastAsia="黑体" w:cs="黑体"/>
          <w:lang w:eastAsia="zh-CN"/>
        </w:rPr>
      </w:pPr>
      <w:r>
        <w:rPr>
          <w:rFonts w:hint="eastAsia" w:ascii="黑体" w:hAnsi="黑体" w:eastAsia="黑体" w:cs="黑体"/>
          <w:lang w:eastAsia="zh-CN"/>
        </w:rPr>
        <w:t>七、现代船员培养培训，开拓了示范基地</w:t>
      </w:r>
    </w:p>
    <w:p>
      <w:pPr>
        <w:ind w:firstLine="640"/>
        <w:rPr>
          <w:lang w:eastAsia="zh-CN"/>
        </w:rPr>
      </w:pPr>
      <w:r>
        <w:rPr>
          <w:rFonts w:hint="eastAsia"/>
          <w:lang w:eastAsia="zh-CN"/>
        </w:rPr>
        <w:t>海南科技职业大学是全国开展船员教育与培训的唯一职业本科院校。学校对标海南千亿级主体产业即海洋产业，2010年率先在省内开设航海技术专业，学校是海南省唯一一家拥有海船、内河、渔船、游艇等类型全部适任资格证书培训资质的单位，拥有海南省示范船员教育与培训基地称号，其中培训资质20项，全省数量最多；船长培训资质，全省等级最高；外籍船员培训资质，面向一带一路；多维服务体系，全省服务功能最全。近几年，培训各级各类船员3万多人次，解决了海南省过去涉海人员技能培训长期依靠省外的局面，该事例被选入2022年4月27日光明日报《职业教育这十年：建设技能型社会 培养更多大国工匠》案例。学校的航海技术专业具有建设国际影响力的职业教育标准的项目1个、校企合作典型生产实践项目2个、职业教育一流核心课程项目1个、优质教材项目1个。</w:t>
      </w:r>
    </w:p>
    <w:p>
      <w:pPr>
        <w:pStyle w:val="25"/>
      </w:pPr>
    </w:p>
    <w:p>
      <w:pPr>
        <w:pStyle w:val="25"/>
      </w:pPr>
    </w:p>
    <w:p>
      <w:pPr>
        <w:spacing w:before="120" w:beforeLines="50" w:after="120" w:afterLines="50"/>
        <w:ind w:firstLine="640"/>
        <w:rPr>
          <w:rFonts w:ascii="黑体" w:hAnsi="黑体" w:eastAsia="黑体" w:cs="黑体"/>
          <w:lang w:eastAsia="zh-CN"/>
        </w:rPr>
      </w:pPr>
      <w:r>
        <w:rPr>
          <w:rFonts w:hint="eastAsia" w:ascii="黑体" w:hAnsi="黑体" w:eastAsia="黑体" w:cs="黑体"/>
          <w:lang w:eastAsia="zh-CN"/>
        </w:rPr>
        <w:t>八、强基固本、以赛促教，人才培养成效卓著</w:t>
      </w:r>
    </w:p>
    <w:p>
      <w:pPr>
        <w:ind w:firstLine="640"/>
        <w:rPr>
          <w:lang w:eastAsia="zh-CN"/>
        </w:rPr>
      </w:pPr>
      <w:r>
        <w:rPr>
          <w:rFonts w:hint="eastAsia"/>
          <w:lang w:eastAsia="zh-CN"/>
        </w:rPr>
        <w:t>学校坚持“岗课赛证”融通的育人模式改革，营造了浓郁的学科和技能竞赛氛围，秉持“强基固本，立足创新，以赛促教，以教育赛”的教学理念，以竞赛为抓手，有力促进、提高了人才培养质量。</w:t>
      </w:r>
    </w:p>
    <w:p>
      <w:pPr>
        <w:ind w:firstLine="640"/>
        <w:rPr>
          <w:lang w:eastAsia="zh-CN"/>
        </w:rPr>
      </w:pPr>
      <w:r>
        <w:rPr>
          <w:rFonts w:hint="eastAsia"/>
          <w:lang w:eastAsia="zh-CN"/>
        </w:rPr>
        <w:t>2022年至今，海科大学生参加省级以上竞赛获奖共计1567项，其中国际级36项，国家级374项，省级1157项；教师参加省级以上竞赛获奖共计291项，其中国际级3项，国家级148项，省级140项。组织各专业本科学生参加大学生创新创业训练计划共214项，其中国家级立项24项，省级立项47项，校级立项143项。</w:t>
      </w:r>
    </w:p>
    <w:p>
      <w:pPr>
        <w:ind w:firstLine="640"/>
        <w:rPr>
          <w:lang w:eastAsia="zh-CN"/>
        </w:rPr>
      </w:pPr>
      <w:r>
        <w:rPr>
          <w:rFonts w:hint="eastAsia"/>
          <w:lang w:eastAsia="zh-CN"/>
        </w:rPr>
        <w:t>2022年至今，学校参加各级各类大学生数学建模竞赛获奖216项，在32所全国职业本科大学中保持最高，且获奖成绩逐年提高，体现了学校人才培养成效。其中，2023年荣获美国大学生数学建模竞赛16个国际奖；荣获全国大学生数学建模竞赛海南赛区39个奖项，其中11项一等奖被推送参加国赛；荣获全国大学生统计建模竞赛广东区13个奖项，第十六届认证杯数学中国数学建模网络挑战赛全国18个奖项。</w:t>
      </w:r>
    </w:p>
    <w:p>
      <w:pPr>
        <w:ind w:firstLine="640"/>
        <w:rPr>
          <w:lang w:eastAsia="zh-CN"/>
        </w:rPr>
      </w:pPr>
      <w:r>
        <w:rPr>
          <w:rFonts w:hint="eastAsia"/>
          <w:lang w:eastAsia="zh-CN"/>
        </w:rPr>
        <w:t>学校“十四五”规划期间，学习贯彻党的二十大精神，在教育部、省委省政府、省教育厅的领导下，在理事会正确决策、校党委领导、校行政有力执行、全校师生共同努力下，坚持“稳规模、抓重点、强特色、促融合、提质量、上层次”十八字方针，完成各项重点工作任务。力争2024年高质量通过本科教学工作合格评估，2025年底努力获得职业教育硕士专业学位授予权，招收硕士研究生，推进学校成为中国乃至世界一流的现代职业大学。</w:t>
      </w:r>
    </w:p>
    <w:p>
      <w:pPr>
        <w:numPr>
          <w:ilvl w:val="0"/>
          <w:numId w:val="1"/>
        </w:numPr>
        <w:ind w:firstLine="660"/>
        <w:rPr>
          <w:rFonts w:ascii="宋体" w:hAnsi="宋体" w:eastAsia="宋体" w:cs="宋体"/>
          <w:spacing w:val="10"/>
          <w:szCs w:val="43"/>
          <w:lang w:eastAsia="zh-CN"/>
          <w14:textOutline w14:w="7975" w14:cap="sq" w14:cmpd="sng" w14:algn="ctr">
            <w14:solidFill>
              <w14:srgbClr w14:val="000000"/>
            </w14:solidFill>
            <w14:prstDash w14:val="solid"/>
            <w14:bevel/>
          </w14:textOutline>
        </w:rPr>
      </w:pPr>
      <w:r>
        <w:rPr>
          <w:rFonts w:ascii="宋体" w:hAnsi="宋体" w:eastAsia="宋体" w:cs="宋体"/>
          <w:spacing w:val="10"/>
          <w:szCs w:val="43"/>
          <w:lang w:eastAsia="zh-CN"/>
          <w14:textOutline w14:w="7975" w14:cap="sq" w14:cmpd="sng" w14:algn="ctr">
            <w14:solidFill>
              <w14:srgbClr w14:val="000000"/>
            </w14:solidFill>
            <w14:prstDash w14:val="solid"/>
            <w14:bevel/>
          </w14:textOutline>
        </w:rPr>
        <w:br w:type="page"/>
      </w:r>
    </w:p>
    <w:p>
      <w:pPr>
        <w:spacing w:before="120" w:after="120" w:afterLines="50" w:line="224" w:lineRule="auto"/>
        <w:ind w:firstLine="0" w:firstLineChars="0"/>
        <w:jc w:val="center"/>
        <w:outlineLvl w:val="0"/>
        <w:rPr>
          <w:rFonts w:ascii="宋体" w:hAnsi="宋体" w:eastAsia="宋体" w:cs="宋体"/>
          <w:spacing w:val="10"/>
          <w:sz w:val="43"/>
          <w:szCs w:val="43"/>
          <w:lang w:eastAsia="zh-CN"/>
          <w14:textOutline w14:w="7975" w14:cap="sq" w14:cmpd="sng" w14:algn="ctr">
            <w14:solidFill>
              <w14:srgbClr w14:val="000000"/>
            </w14:solidFill>
            <w14:prstDash w14:val="solid"/>
            <w14:bevel/>
          </w14:textOutline>
        </w:rPr>
      </w:pPr>
      <w:bookmarkStart w:id="1" w:name="_Toc151887666"/>
      <w:r>
        <w:rPr>
          <w:rFonts w:ascii="宋体" w:hAnsi="宋体" w:eastAsia="宋体" w:cs="宋体"/>
          <w:spacing w:val="10"/>
          <w:sz w:val="43"/>
          <w:szCs w:val="43"/>
          <w:lang w:eastAsia="zh-CN"/>
          <w14:textOutline w14:w="7975" w14:cap="sq" w14:cmpd="sng" w14:algn="ctr">
            <w14:solidFill>
              <w14:srgbClr w14:val="000000"/>
            </w14:solidFill>
            <w14:prstDash w14:val="solid"/>
            <w14:bevel/>
          </w14:textOutline>
        </w:rPr>
        <w:t>第一部分：毕业生</w:t>
      </w:r>
      <w:r>
        <w:rPr>
          <w:rFonts w:hint="eastAsia" w:ascii="宋体" w:hAnsi="宋体" w:eastAsia="宋体" w:cs="宋体"/>
          <w:spacing w:val="10"/>
          <w:sz w:val="43"/>
          <w:szCs w:val="43"/>
          <w:lang w:eastAsia="zh-CN"/>
          <w14:textOutline w14:w="7975" w14:cap="sq" w14:cmpd="sng" w14:algn="ctr">
            <w14:solidFill>
              <w14:srgbClr w14:val="000000"/>
            </w14:solidFill>
            <w14:prstDash w14:val="solid"/>
            <w14:bevel/>
          </w14:textOutline>
        </w:rPr>
        <w:t>就业</w:t>
      </w:r>
      <w:r>
        <w:rPr>
          <w:rFonts w:ascii="宋体" w:hAnsi="宋体" w:eastAsia="宋体" w:cs="宋体"/>
          <w:spacing w:val="10"/>
          <w:sz w:val="43"/>
          <w:szCs w:val="43"/>
          <w:lang w:eastAsia="zh-CN"/>
          <w14:textOutline w14:w="7975" w14:cap="sq" w14:cmpd="sng" w14:algn="ctr">
            <w14:solidFill>
              <w14:srgbClr w14:val="000000"/>
            </w14:solidFill>
            <w14:prstDash w14:val="solid"/>
            <w14:bevel/>
          </w14:textOutline>
        </w:rPr>
        <w:t>基本情况</w:t>
      </w:r>
      <w:bookmarkEnd w:id="1"/>
    </w:p>
    <w:p>
      <w:pPr>
        <w:ind w:firstLine="640"/>
        <w:rPr>
          <w:lang w:eastAsia="zh-CN"/>
        </w:rPr>
      </w:pPr>
      <w:r>
        <w:rPr>
          <w:rFonts w:hint="eastAsia"/>
          <w:lang w:eastAsia="zh-CN"/>
        </w:rPr>
        <w:t>毕业生就业基本情况反映了毕业生的基本情况，本部分主要从毕业生规模、结构、就业去向、就业流向及行业分布和毕业生升学情况来展现本校毕业生就业基本情况。</w:t>
      </w:r>
    </w:p>
    <w:p>
      <w:pPr>
        <w:pStyle w:val="2"/>
        <w:ind w:firstLine="640"/>
        <w:rPr>
          <w:lang w:eastAsia="zh-CN"/>
        </w:rPr>
      </w:pPr>
      <w:bookmarkStart w:id="2" w:name="_Toc151887667"/>
      <w:r>
        <w:rPr>
          <w:lang w:eastAsia="zh-CN"/>
        </w:rPr>
        <w:t>一、毕业生规模</w:t>
      </w:r>
      <w:bookmarkEnd w:id="2"/>
    </w:p>
    <w:p>
      <w:pPr>
        <w:pStyle w:val="3"/>
        <w:ind w:firstLine="643"/>
        <w:rPr>
          <w:lang w:eastAsia="zh-CN"/>
        </w:rPr>
      </w:pPr>
      <w:bookmarkStart w:id="3" w:name="_Toc151887668"/>
      <w:r>
        <w:rPr>
          <w:rFonts w:hint="eastAsia"/>
          <w:lang w:eastAsia="zh-CN"/>
        </w:rPr>
        <w:t>（一）毕业生总人数</w:t>
      </w:r>
      <w:bookmarkEnd w:id="3"/>
    </w:p>
    <w:p>
      <w:pPr>
        <w:ind w:firstLine="640"/>
        <w:rPr>
          <w:lang w:eastAsia="zh-CN"/>
        </w:rPr>
      </w:pPr>
      <w:r>
        <w:rPr>
          <w:rFonts w:hint="eastAsia"/>
          <w:lang w:eastAsia="zh-CN"/>
        </w:rPr>
        <w:t>海南科技职业大学</w:t>
      </w:r>
      <w:r>
        <w:rPr>
          <w:lang w:eastAsia="zh-CN"/>
        </w:rPr>
        <w:t>2022</w:t>
      </w:r>
      <w:r>
        <w:rPr>
          <w:rFonts w:hint="eastAsia"/>
          <w:lang w:eastAsia="zh-CN"/>
        </w:rPr>
        <w:t>届毕业生人数为</w:t>
      </w:r>
      <w:r>
        <w:rPr>
          <w:lang w:eastAsia="zh-CN"/>
        </w:rPr>
        <w:t>4356</w:t>
      </w:r>
      <w:r>
        <w:rPr>
          <w:rFonts w:hint="eastAsia"/>
          <w:lang w:eastAsia="zh-CN"/>
        </w:rPr>
        <w:t>人。</w:t>
      </w:r>
    </w:p>
    <w:p>
      <w:pPr>
        <w:pStyle w:val="3"/>
        <w:ind w:firstLine="643"/>
        <w:rPr>
          <w:rFonts w:ascii="Arial" w:hAnsi="Arial"/>
          <w:lang w:eastAsia="zh-CN"/>
        </w:rPr>
      </w:pPr>
      <w:bookmarkStart w:id="4" w:name="_Toc151887669"/>
      <w:r>
        <w:rPr>
          <w:rFonts w:hint="eastAsia" w:ascii="Arial" w:hAnsi="Arial"/>
          <w:lang w:eastAsia="zh-CN"/>
        </w:rPr>
        <w:t>（二）毕业生性别分布</w:t>
      </w:r>
      <w:bookmarkEnd w:id="4"/>
    </w:p>
    <w:p>
      <w:pPr>
        <w:ind w:firstLine="640"/>
        <w:rPr>
          <w:lang w:eastAsia="zh-CN"/>
        </w:rPr>
      </w:pPr>
      <w:r>
        <w:rPr>
          <w:lang w:eastAsia="zh-CN"/>
        </w:rPr>
        <w:t>我校2022届毕业生共计4356人，其中男生2246名，女生2110名，男、女生占比分别为51.56%、48.44</w:t>
      </w:r>
      <w:r>
        <w:rPr>
          <w:rFonts w:hint="eastAsia"/>
          <w:lang w:eastAsia="zh-CN"/>
        </w:rPr>
        <w:t>%</w:t>
      </w:r>
      <w:r>
        <w:rPr>
          <w:lang w:eastAsia="zh-CN"/>
        </w:rPr>
        <w:t>，男生人数略高于女生。</w:t>
      </w:r>
    </w:p>
    <w:p>
      <w:pPr>
        <w:spacing w:before="92" w:line="411" w:lineRule="auto"/>
        <w:ind w:right="1" w:firstLine="560"/>
        <w:jc w:val="center"/>
        <w:rPr>
          <w:rFonts w:ascii="宋体" w:hAnsi="宋体" w:eastAsia="宋体" w:cs="宋体"/>
          <w:spacing w:val="-7"/>
          <w:sz w:val="28"/>
          <w:szCs w:val="28"/>
          <w:lang w:eastAsia="zh-CN"/>
        </w:rPr>
      </w:pPr>
      <w:r>
        <w:rPr>
          <w:rFonts w:ascii="宋体" w:hAnsi="宋体" w:eastAsia="宋体" w:cs="宋体"/>
          <w:spacing w:val="-7"/>
          <w:sz w:val="28"/>
          <w:szCs w:val="28"/>
          <w:lang w:eastAsia="zh-CN"/>
        </w:rPr>
        <w:drawing>
          <wp:inline distT="0" distB="0" distL="114300" distR="114300">
            <wp:extent cx="4542790" cy="2762885"/>
            <wp:effectExtent l="4445" t="4445" r="5715" b="1397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ind w:firstLine="442"/>
        <w:jc w:val="center"/>
        <w:rPr>
          <w:rFonts w:ascii="黑体" w:hAnsi="黑体" w:eastAsia="黑体" w:cs="黑体"/>
          <w:bCs/>
          <w:sz w:val="22"/>
          <w:szCs w:val="22"/>
          <w:lang w:eastAsia="zh-CN"/>
        </w:rPr>
      </w:pPr>
      <w:r>
        <w:rPr>
          <w:rFonts w:hint="eastAsia" w:ascii="黑体" w:hAnsi="黑体" w:eastAsia="黑体" w:cs="黑体"/>
          <w:b/>
          <w:sz w:val="22"/>
          <w:szCs w:val="22"/>
          <w:lang w:eastAsia="zh-CN"/>
        </w:rPr>
        <w:t xml:space="preserve">图1.1  </w:t>
      </w:r>
      <w:r>
        <w:rPr>
          <w:rFonts w:hint="eastAsia" w:ascii="黑体" w:hAnsi="黑体" w:eastAsia="黑体" w:cs="黑体"/>
          <w:bCs/>
          <w:sz w:val="22"/>
          <w:szCs w:val="22"/>
          <w:lang w:eastAsia="zh-CN"/>
        </w:rPr>
        <w:t>毕业生性别分布</w:t>
      </w:r>
    </w:p>
    <w:p>
      <w:pPr>
        <w:rPr>
          <w:snapToGrid/>
          <w:sz w:val="21"/>
          <w:lang w:eastAsia="zh-CN"/>
        </w:rPr>
      </w:pPr>
      <w:r>
        <w:rPr>
          <w:rFonts w:hint="eastAsia" w:ascii="仿宋" w:hAnsi="仿宋"/>
          <w:sz w:val="21"/>
          <w:lang w:eastAsia="zh-CN"/>
        </w:rPr>
        <w:t>数据来源：全国高校毕业生就业管理系统</w:t>
      </w:r>
    </w:p>
    <w:p>
      <w:pPr>
        <w:pStyle w:val="3"/>
        <w:numPr>
          <w:ilvl w:val="0"/>
          <w:numId w:val="2"/>
        </w:numPr>
        <w:ind w:firstLine="643"/>
        <w:rPr>
          <w:lang w:eastAsia="zh-CN"/>
        </w:rPr>
      </w:pPr>
      <w:bookmarkStart w:id="5" w:name="_Toc151887670"/>
      <w:r>
        <w:rPr>
          <w:rFonts w:hint="eastAsia"/>
          <w:lang w:eastAsia="zh-CN"/>
        </w:rPr>
        <w:t>毕业生生源结构</w:t>
      </w:r>
      <w:bookmarkEnd w:id="5"/>
    </w:p>
    <w:p>
      <w:pPr>
        <w:ind w:firstLine="422"/>
        <w:jc w:val="center"/>
        <w:rPr>
          <w:lang w:eastAsia="zh-CN"/>
        </w:rPr>
      </w:pPr>
      <w:r>
        <w:rPr>
          <w:rFonts w:hint="eastAsia" w:eastAsia="黑体"/>
          <w:b/>
          <w:sz w:val="21"/>
          <w:lang w:eastAsia="zh-CN"/>
        </w:rPr>
        <w:t xml:space="preserve">表1.1  </w:t>
      </w:r>
      <w:r>
        <w:rPr>
          <w:rFonts w:hint="eastAsia" w:eastAsia="黑体"/>
          <w:bCs/>
          <w:sz w:val="21"/>
          <w:lang w:eastAsia="zh-CN"/>
        </w:rPr>
        <w:t>毕业生生源结构</w:t>
      </w:r>
    </w:p>
    <w:tbl>
      <w:tblPr>
        <w:tblStyle w:val="20"/>
        <w:tblW w:w="7620" w:type="dxa"/>
        <w:jc w:val="center"/>
        <w:tblLayout w:type="autofit"/>
        <w:tblCellMar>
          <w:top w:w="0" w:type="dxa"/>
          <w:left w:w="108" w:type="dxa"/>
          <w:bottom w:w="0" w:type="dxa"/>
          <w:right w:w="108" w:type="dxa"/>
        </w:tblCellMar>
      </w:tblPr>
      <w:tblGrid>
        <w:gridCol w:w="1091"/>
        <w:gridCol w:w="2069"/>
        <w:gridCol w:w="2176"/>
        <w:gridCol w:w="2284"/>
      </w:tblGrid>
      <w:tr>
        <w:tblPrEx>
          <w:tblCellMar>
            <w:top w:w="0" w:type="dxa"/>
            <w:left w:w="108" w:type="dxa"/>
            <w:bottom w:w="0" w:type="dxa"/>
            <w:right w:w="108" w:type="dxa"/>
          </w:tblCellMar>
        </w:tblPrEx>
        <w:trPr>
          <w:trHeight w:val="450"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pPr>
              <w:ind w:firstLine="0" w:firstLineChars="0"/>
              <w:jc w:val="center"/>
              <w:textAlignment w:val="center"/>
              <w:rPr>
                <w:rFonts w:ascii="微软雅黑" w:hAnsi="微软雅黑" w:eastAsia="微软雅黑" w:cs="微软雅黑"/>
                <w:b/>
                <w:bCs/>
                <w:sz w:val="22"/>
                <w:szCs w:val="22"/>
                <w:lang w:eastAsia="zh-CN" w:bidi="ar"/>
              </w:rPr>
            </w:pPr>
            <w:r>
              <w:rPr>
                <w:rFonts w:hint="eastAsia" w:ascii="微软雅黑" w:hAnsi="微软雅黑" w:eastAsia="微软雅黑" w:cs="微软雅黑"/>
                <w:b/>
                <w:bCs/>
                <w:sz w:val="22"/>
                <w:szCs w:val="22"/>
                <w:lang w:eastAsia="zh-CN" w:bidi="ar"/>
              </w:rPr>
              <w:t>序号</w:t>
            </w:r>
          </w:p>
        </w:tc>
        <w:tc>
          <w:tcPr>
            <w:tcW w:w="2100"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pPr>
              <w:ind w:firstLine="440"/>
              <w:textAlignment w:val="center"/>
              <w:rPr>
                <w:rFonts w:ascii="微软雅黑" w:hAnsi="微软雅黑" w:eastAsia="微软雅黑" w:cs="微软雅黑"/>
                <w:b/>
                <w:bCs/>
                <w:color w:val="FFFFFF"/>
                <w:sz w:val="22"/>
                <w:szCs w:val="22"/>
              </w:rPr>
            </w:pPr>
            <w:r>
              <w:rPr>
                <w:rFonts w:hint="eastAsia" w:ascii="微软雅黑" w:hAnsi="微软雅黑" w:eastAsia="微软雅黑" w:cs="微软雅黑"/>
                <w:b/>
                <w:bCs/>
                <w:sz w:val="22"/>
                <w:szCs w:val="22"/>
                <w:lang w:eastAsia="zh-CN" w:bidi="ar"/>
              </w:rPr>
              <w:t>毕业生生源地</w:t>
            </w:r>
          </w:p>
        </w:tc>
        <w:tc>
          <w:tcPr>
            <w:tcW w:w="2202"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pPr>
              <w:ind w:firstLine="440"/>
              <w:jc w:val="center"/>
              <w:textAlignment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lang w:eastAsia="zh-CN" w:bidi="ar"/>
              </w:rPr>
              <w:t>毕业生人数</w:t>
            </w:r>
          </w:p>
        </w:tc>
        <w:tc>
          <w:tcPr>
            <w:tcW w:w="230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pPr>
              <w:ind w:firstLine="440"/>
              <w:jc w:val="center"/>
              <w:textAlignment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lang w:eastAsia="zh-CN" w:bidi="ar"/>
              </w:rPr>
              <w:t>毕业生所占比例</w:t>
            </w:r>
          </w:p>
        </w:tc>
      </w:tr>
      <w:tr>
        <w:tblPrEx>
          <w:tblCellMar>
            <w:top w:w="0" w:type="dxa"/>
            <w:left w:w="108" w:type="dxa"/>
            <w:bottom w:w="0" w:type="dxa"/>
            <w:right w:w="108" w:type="dxa"/>
          </w:tblCellMar>
        </w:tblPrEx>
        <w:trPr>
          <w:trHeight w:val="450"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1</w:t>
            </w:r>
          </w:p>
        </w:tc>
        <w:tc>
          <w:tcPr>
            <w:tcW w:w="210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textAlignment w:val="center"/>
              <w:rPr>
                <w:rFonts w:ascii="微软雅黑" w:hAnsi="微软雅黑" w:eastAsia="微软雅黑" w:cs="微软雅黑"/>
                <w:color w:val="FFFFFF"/>
                <w:sz w:val="20"/>
                <w:szCs w:val="20"/>
              </w:rPr>
            </w:pPr>
            <w:r>
              <w:rPr>
                <w:rFonts w:hint="eastAsia" w:ascii="微软雅黑" w:hAnsi="微软雅黑" w:eastAsia="微软雅黑" w:cs="微软雅黑"/>
                <w:sz w:val="20"/>
                <w:szCs w:val="20"/>
                <w:lang w:eastAsia="zh-CN" w:bidi="ar"/>
              </w:rPr>
              <w:t>海南省</w:t>
            </w:r>
          </w:p>
        </w:tc>
        <w:tc>
          <w:tcPr>
            <w:tcW w:w="2202" w:type="dxa"/>
            <w:tcBorders>
              <w:top w:val="single" w:color="auto" w:sz="4" w:space="0"/>
              <w:left w:val="single" w:color="auto" w:sz="4" w:space="0"/>
              <w:bottom w:val="single" w:color="auto" w:sz="4" w:space="0"/>
              <w:right w:val="single" w:color="auto" w:sz="4" w:space="0"/>
            </w:tcBorders>
            <w:shd w:val="clear" w:color="auto" w:fill="EDEFFA"/>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3259</w:t>
            </w:r>
          </w:p>
        </w:tc>
        <w:tc>
          <w:tcPr>
            <w:tcW w:w="2306" w:type="dxa"/>
            <w:tcBorders>
              <w:top w:val="single" w:color="auto" w:sz="4" w:space="0"/>
              <w:left w:val="single" w:color="auto" w:sz="4" w:space="0"/>
              <w:bottom w:val="single" w:color="auto" w:sz="4" w:space="0"/>
              <w:right w:val="single" w:color="auto" w:sz="4" w:space="0"/>
            </w:tcBorders>
            <w:shd w:val="clear" w:color="auto" w:fill="EDEFFA"/>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74.82%</w:t>
            </w:r>
          </w:p>
        </w:tc>
      </w:tr>
      <w:tr>
        <w:tblPrEx>
          <w:tblCellMar>
            <w:top w:w="0" w:type="dxa"/>
            <w:left w:w="108" w:type="dxa"/>
            <w:bottom w:w="0" w:type="dxa"/>
            <w:right w:w="108" w:type="dxa"/>
          </w:tblCellMar>
        </w:tblPrEx>
        <w:trPr>
          <w:trHeight w:val="450"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2</w:t>
            </w:r>
          </w:p>
        </w:tc>
        <w:tc>
          <w:tcPr>
            <w:tcW w:w="210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textAlignment w:val="center"/>
              <w:rPr>
                <w:rFonts w:ascii="微软雅黑" w:hAnsi="微软雅黑" w:eastAsia="微软雅黑" w:cs="微软雅黑"/>
                <w:color w:val="FFFFFF"/>
                <w:sz w:val="20"/>
                <w:szCs w:val="20"/>
              </w:rPr>
            </w:pPr>
            <w:r>
              <w:rPr>
                <w:rFonts w:hint="eastAsia" w:ascii="微软雅黑" w:hAnsi="微软雅黑" w:eastAsia="微软雅黑" w:cs="微软雅黑"/>
                <w:sz w:val="20"/>
                <w:szCs w:val="20"/>
                <w:lang w:eastAsia="zh-CN" w:bidi="ar"/>
              </w:rPr>
              <w:t>广西壮族自治区</w:t>
            </w:r>
          </w:p>
        </w:tc>
        <w:tc>
          <w:tcPr>
            <w:tcW w:w="2202"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293</w:t>
            </w:r>
          </w:p>
        </w:tc>
        <w:tc>
          <w:tcPr>
            <w:tcW w:w="2306"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6.73%</w:t>
            </w:r>
          </w:p>
        </w:tc>
      </w:tr>
      <w:tr>
        <w:tblPrEx>
          <w:tblCellMar>
            <w:top w:w="0" w:type="dxa"/>
            <w:left w:w="108" w:type="dxa"/>
            <w:bottom w:w="0" w:type="dxa"/>
            <w:right w:w="108" w:type="dxa"/>
          </w:tblCellMar>
        </w:tblPrEx>
        <w:trPr>
          <w:trHeight w:val="450"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3</w:t>
            </w:r>
          </w:p>
        </w:tc>
        <w:tc>
          <w:tcPr>
            <w:tcW w:w="210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textAlignment w:val="center"/>
              <w:rPr>
                <w:rFonts w:ascii="微软雅黑" w:hAnsi="微软雅黑" w:eastAsia="微软雅黑" w:cs="微软雅黑"/>
                <w:color w:val="FFFFFF"/>
                <w:sz w:val="20"/>
                <w:szCs w:val="20"/>
              </w:rPr>
            </w:pPr>
            <w:r>
              <w:rPr>
                <w:rFonts w:hint="eastAsia" w:ascii="微软雅黑" w:hAnsi="微软雅黑" w:eastAsia="微软雅黑" w:cs="微软雅黑"/>
                <w:sz w:val="20"/>
                <w:szCs w:val="20"/>
                <w:lang w:eastAsia="zh-CN" w:bidi="ar"/>
              </w:rPr>
              <w:t>贵州省</w:t>
            </w:r>
          </w:p>
        </w:tc>
        <w:tc>
          <w:tcPr>
            <w:tcW w:w="2202" w:type="dxa"/>
            <w:tcBorders>
              <w:top w:val="single" w:color="auto" w:sz="4" w:space="0"/>
              <w:left w:val="single" w:color="auto" w:sz="4" w:space="0"/>
              <w:bottom w:val="single" w:color="auto" w:sz="4" w:space="0"/>
              <w:right w:val="single" w:color="auto" w:sz="4" w:space="0"/>
            </w:tcBorders>
            <w:shd w:val="clear" w:color="auto" w:fill="EDEFFA"/>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206</w:t>
            </w:r>
          </w:p>
        </w:tc>
        <w:tc>
          <w:tcPr>
            <w:tcW w:w="2306" w:type="dxa"/>
            <w:tcBorders>
              <w:top w:val="single" w:color="auto" w:sz="4" w:space="0"/>
              <w:left w:val="single" w:color="auto" w:sz="4" w:space="0"/>
              <w:bottom w:val="single" w:color="auto" w:sz="4" w:space="0"/>
              <w:right w:val="single" w:color="auto" w:sz="4" w:space="0"/>
            </w:tcBorders>
            <w:shd w:val="clear" w:color="auto" w:fill="EDEFFA"/>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4.73%</w:t>
            </w:r>
          </w:p>
        </w:tc>
      </w:tr>
      <w:tr>
        <w:tblPrEx>
          <w:tblCellMar>
            <w:top w:w="0" w:type="dxa"/>
            <w:left w:w="108" w:type="dxa"/>
            <w:bottom w:w="0" w:type="dxa"/>
            <w:right w:w="108" w:type="dxa"/>
          </w:tblCellMar>
        </w:tblPrEx>
        <w:trPr>
          <w:trHeight w:val="450"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4</w:t>
            </w:r>
          </w:p>
        </w:tc>
        <w:tc>
          <w:tcPr>
            <w:tcW w:w="210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textAlignment w:val="center"/>
              <w:rPr>
                <w:rFonts w:ascii="微软雅黑" w:hAnsi="微软雅黑" w:eastAsia="微软雅黑" w:cs="微软雅黑"/>
                <w:color w:val="FFFFFF"/>
                <w:sz w:val="20"/>
                <w:szCs w:val="20"/>
              </w:rPr>
            </w:pPr>
            <w:r>
              <w:rPr>
                <w:rFonts w:hint="eastAsia" w:ascii="微软雅黑" w:hAnsi="微软雅黑" w:eastAsia="微软雅黑" w:cs="微软雅黑"/>
                <w:sz w:val="20"/>
                <w:szCs w:val="20"/>
                <w:lang w:eastAsia="zh-CN" w:bidi="ar"/>
              </w:rPr>
              <w:t>河南省</w:t>
            </w:r>
          </w:p>
        </w:tc>
        <w:tc>
          <w:tcPr>
            <w:tcW w:w="2202"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89</w:t>
            </w:r>
          </w:p>
        </w:tc>
        <w:tc>
          <w:tcPr>
            <w:tcW w:w="2306"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2.04%</w:t>
            </w:r>
          </w:p>
        </w:tc>
      </w:tr>
      <w:tr>
        <w:tblPrEx>
          <w:tblCellMar>
            <w:top w:w="0" w:type="dxa"/>
            <w:left w:w="108" w:type="dxa"/>
            <w:bottom w:w="0" w:type="dxa"/>
            <w:right w:w="108" w:type="dxa"/>
          </w:tblCellMar>
        </w:tblPrEx>
        <w:trPr>
          <w:trHeight w:val="450"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5</w:t>
            </w:r>
          </w:p>
        </w:tc>
        <w:tc>
          <w:tcPr>
            <w:tcW w:w="210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textAlignment w:val="center"/>
              <w:rPr>
                <w:rFonts w:ascii="微软雅黑" w:hAnsi="微软雅黑" w:eastAsia="微软雅黑" w:cs="微软雅黑"/>
                <w:color w:val="FFFFFF"/>
                <w:sz w:val="20"/>
                <w:szCs w:val="20"/>
              </w:rPr>
            </w:pPr>
            <w:r>
              <w:rPr>
                <w:rFonts w:hint="eastAsia" w:ascii="微软雅黑" w:hAnsi="微软雅黑" w:eastAsia="微软雅黑" w:cs="微软雅黑"/>
                <w:sz w:val="20"/>
                <w:szCs w:val="20"/>
                <w:lang w:eastAsia="zh-CN" w:bidi="ar"/>
              </w:rPr>
              <w:t>广东省</w:t>
            </w:r>
          </w:p>
        </w:tc>
        <w:tc>
          <w:tcPr>
            <w:tcW w:w="2202" w:type="dxa"/>
            <w:tcBorders>
              <w:top w:val="single" w:color="auto" w:sz="4" w:space="0"/>
              <w:left w:val="single" w:color="auto" w:sz="4" w:space="0"/>
              <w:bottom w:val="single" w:color="auto" w:sz="4" w:space="0"/>
              <w:right w:val="single" w:color="auto" w:sz="4" w:space="0"/>
            </w:tcBorders>
            <w:shd w:val="clear" w:color="auto" w:fill="EDEFFA"/>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75</w:t>
            </w:r>
          </w:p>
        </w:tc>
        <w:tc>
          <w:tcPr>
            <w:tcW w:w="2306" w:type="dxa"/>
            <w:tcBorders>
              <w:top w:val="single" w:color="auto" w:sz="4" w:space="0"/>
              <w:left w:val="single" w:color="auto" w:sz="4" w:space="0"/>
              <w:bottom w:val="single" w:color="auto" w:sz="4" w:space="0"/>
              <w:right w:val="single" w:color="auto" w:sz="4" w:space="0"/>
            </w:tcBorders>
            <w:shd w:val="clear" w:color="auto" w:fill="EDEFFA"/>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1.72%</w:t>
            </w:r>
          </w:p>
        </w:tc>
      </w:tr>
      <w:tr>
        <w:tblPrEx>
          <w:tblCellMar>
            <w:top w:w="0" w:type="dxa"/>
            <w:left w:w="108" w:type="dxa"/>
            <w:bottom w:w="0" w:type="dxa"/>
            <w:right w:w="108" w:type="dxa"/>
          </w:tblCellMar>
        </w:tblPrEx>
        <w:trPr>
          <w:trHeight w:val="450"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6</w:t>
            </w:r>
          </w:p>
        </w:tc>
        <w:tc>
          <w:tcPr>
            <w:tcW w:w="210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textAlignment w:val="center"/>
              <w:rPr>
                <w:rFonts w:ascii="微软雅黑" w:hAnsi="微软雅黑" w:eastAsia="微软雅黑" w:cs="微软雅黑"/>
                <w:color w:val="FFFFFF"/>
                <w:sz w:val="20"/>
                <w:szCs w:val="20"/>
              </w:rPr>
            </w:pPr>
            <w:r>
              <w:rPr>
                <w:rFonts w:hint="eastAsia" w:ascii="微软雅黑" w:hAnsi="微软雅黑" w:eastAsia="微软雅黑" w:cs="微软雅黑"/>
                <w:sz w:val="20"/>
                <w:szCs w:val="20"/>
                <w:lang w:eastAsia="zh-CN" w:bidi="ar"/>
              </w:rPr>
              <w:t>湖南省</w:t>
            </w:r>
          </w:p>
        </w:tc>
        <w:tc>
          <w:tcPr>
            <w:tcW w:w="2202"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61</w:t>
            </w:r>
          </w:p>
        </w:tc>
        <w:tc>
          <w:tcPr>
            <w:tcW w:w="2306"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1.40%</w:t>
            </w:r>
          </w:p>
        </w:tc>
      </w:tr>
      <w:tr>
        <w:tblPrEx>
          <w:tblCellMar>
            <w:top w:w="0" w:type="dxa"/>
            <w:left w:w="108" w:type="dxa"/>
            <w:bottom w:w="0" w:type="dxa"/>
            <w:right w:w="108" w:type="dxa"/>
          </w:tblCellMar>
        </w:tblPrEx>
        <w:trPr>
          <w:trHeight w:val="450"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7</w:t>
            </w:r>
          </w:p>
        </w:tc>
        <w:tc>
          <w:tcPr>
            <w:tcW w:w="210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textAlignment w:val="center"/>
              <w:rPr>
                <w:rFonts w:ascii="微软雅黑" w:hAnsi="微软雅黑" w:eastAsia="微软雅黑" w:cs="微软雅黑"/>
                <w:color w:val="FFFFFF"/>
                <w:sz w:val="20"/>
                <w:szCs w:val="20"/>
              </w:rPr>
            </w:pPr>
            <w:r>
              <w:rPr>
                <w:rFonts w:hint="eastAsia" w:ascii="微软雅黑" w:hAnsi="微软雅黑" w:eastAsia="微软雅黑" w:cs="微软雅黑"/>
                <w:sz w:val="20"/>
                <w:szCs w:val="20"/>
                <w:lang w:eastAsia="zh-CN" w:bidi="ar"/>
              </w:rPr>
              <w:t>浙江省</w:t>
            </w:r>
          </w:p>
        </w:tc>
        <w:tc>
          <w:tcPr>
            <w:tcW w:w="2202" w:type="dxa"/>
            <w:tcBorders>
              <w:top w:val="single" w:color="auto" w:sz="4" w:space="0"/>
              <w:left w:val="single" w:color="auto" w:sz="4" w:space="0"/>
              <w:bottom w:val="single" w:color="auto" w:sz="4" w:space="0"/>
              <w:right w:val="single" w:color="auto" w:sz="4" w:space="0"/>
            </w:tcBorders>
            <w:shd w:val="clear" w:color="auto" w:fill="EDEFFA"/>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51</w:t>
            </w:r>
          </w:p>
        </w:tc>
        <w:tc>
          <w:tcPr>
            <w:tcW w:w="2306" w:type="dxa"/>
            <w:tcBorders>
              <w:top w:val="single" w:color="auto" w:sz="4" w:space="0"/>
              <w:left w:val="single" w:color="auto" w:sz="4" w:space="0"/>
              <w:bottom w:val="single" w:color="auto" w:sz="4" w:space="0"/>
              <w:right w:val="single" w:color="auto" w:sz="4" w:space="0"/>
            </w:tcBorders>
            <w:shd w:val="clear" w:color="auto" w:fill="EDEFFA"/>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1.17%</w:t>
            </w:r>
          </w:p>
        </w:tc>
      </w:tr>
      <w:tr>
        <w:tblPrEx>
          <w:tblCellMar>
            <w:top w:w="0" w:type="dxa"/>
            <w:left w:w="108" w:type="dxa"/>
            <w:bottom w:w="0" w:type="dxa"/>
            <w:right w:w="108" w:type="dxa"/>
          </w:tblCellMar>
        </w:tblPrEx>
        <w:trPr>
          <w:trHeight w:val="450"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8</w:t>
            </w:r>
          </w:p>
        </w:tc>
        <w:tc>
          <w:tcPr>
            <w:tcW w:w="210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textAlignment w:val="center"/>
              <w:rPr>
                <w:rFonts w:ascii="微软雅黑" w:hAnsi="微软雅黑" w:eastAsia="微软雅黑" w:cs="微软雅黑"/>
                <w:color w:val="FFFFFF"/>
                <w:sz w:val="20"/>
                <w:szCs w:val="20"/>
              </w:rPr>
            </w:pPr>
            <w:r>
              <w:rPr>
                <w:rFonts w:hint="eastAsia" w:ascii="微软雅黑" w:hAnsi="微软雅黑" w:eastAsia="微软雅黑" w:cs="微软雅黑"/>
                <w:sz w:val="20"/>
                <w:szCs w:val="20"/>
                <w:lang w:eastAsia="zh-CN" w:bidi="ar"/>
              </w:rPr>
              <w:t>江西省</w:t>
            </w:r>
          </w:p>
        </w:tc>
        <w:tc>
          <w:tcPr>
            <w:tcW w:w="2202"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41</w:t>
            </w:r>
          </w:p>
        </w:tc>
        <w:tc>
          <w:tcPr>
            <w:tcW w:w="2306"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0.94%</w:t>
            </w:r>
          </w:p>
        </w:tc>
      </w:tr>
      <w:tr>
        <w:tblPrEx>
          <w:tblCellMar>
            <w:top w:w="0" w:type="dxa"/>
            <w:left w:w="108" w:type="dxa"/>
            <w:bottom w:w="0" w:type="dxa"/>
            <w:right w:w="108" w:type="dxa"/>
          </w:tblCellMar>
        </w:tblPrEx>
        <w:trPr>
          <w:trHeight w:val="450"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9</w:t>
            </w:r>
          </w:p>
        </w:tc>
        <w:tc>
          <w:tcPr>
            <w:tcW w:w="210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textAlignment w:val="center"/>
              <w:rPr>
                <w:rFonts w:ascii="微软雅黑" w:hAnsi="微软雅黑" w:eastAsia="微软雅黑" w:cs="微软雅黑"/>
                <w:color w:val="FFFFFF"/>
                <w:sz w:val="20"/>
                <w:szCs w:val="20"/>
              </w:rPr>
            </w:pPr>
            <w:r>
              <w:rPr>
                <w:rFonts w:hint="eastAsia" w:ascii="微软雅黑" w:hAnsi="微软雅黑" w:eastAsia="微软雅黑" w:cs="微软雅黑"/>
                <w:sz w:val="20"/>
                <w:szCs w:val="20"/>
                <w:lang w:eastAsia="zh-CN" w:bidi="ar"/>
              </w:rPr>
              <w:t>山东省</w:t>
            </w:r>
          </w:p>
        </w:tc>
        <w:tc>
          <w:tcPr>
            <w:tcW w:w="2202" w:type="dxa"/>
            <w:tcBorders>
              <w:top w:val="single" w:color="auto" w:sz="4" w:space="0"/>
              <w:left w:val="single" w:color="auto" w:sz="4" w:space="0"/>
              <w:bottom w:val="single" w:color="auto" w:sz="4" w:space="0"/>
              <w:right w:val="single" w:color="auto" w:sz="4" w:space="0"/>
            </w:tcBorders>
            <w:shd w:val="clear" w:color="auto" w:fill="EDEFFA"/>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32</w:t>
            </w:r>
          </w:p>
        </w:tc>
        <w:tc>
          <w:tcPr>
            <w:tcW w:w="2306" w:type="dxa"/>
            <w:tcBorders>
              <w:top w:val="single" w:color="auto" w:sz="4" w:space="0"/>
              <w:left w:val="single" w:color="auto" w:sz="4" w:space="0"/>
              <w:bottom w:val="single" w:color="auto" w:sz="4" w:space="0"/>
              <w:right w:val="single" w:color="auto" w:sz="4" w:space="0"/>
            </w:tcBorders>
            <w:shd w:val="clear" w:color="auto" w:fill="EDEFFA"/>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0.73%</w:t>
            </w:r>
          </w:p>
        </w:tc>
      </w:tr>
      <w:tr>
        <w:tblPrEx>
          <w:tblCellMar>
            <w:top w:w="0" w:type="dxa"/>
            <w:left w:w="108" w:type="dxa"/>
            <w:bottom w:w="0" w:type="dxa"/>
            <w:right w:w="108" w:type="dxa"/>
          </w:tblCellMar>
        </w:tblPrEx>
        <w:trPr>
          <w:trHeight w:val="450"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10</w:t>
            </w:r>
          </w:p>
        </w:tc>
        <w:tc>
          <w:tcPr>
            <w:tcW w:w="210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textAlignment w:val="center"/>
              <w:rPr>
                <w:rFonts w:ascii="微软雅黑" w:hAnsi="微软雅黑" w:eastAsia="微软雅黑" w:cs="微软雅黑"/>
                <w:color w:val="FFFFFF"/>
                <w:sz w:val="20"/>
                <w:szCs w:val="20"/>
              </w:rPr>
            </w:pPr>
            <w:r>
              <w:rPr>
                <w:rFonts w:hint="eastAsia" w:ascii="微软雅黑" w:hAnsi="微软雅黑" w:eastAsia="微软雅黑" w:cs="微软雅黑"/>
                <w:sz w:val="20"/>
                <w:szCs w:val="20"/>
                <w:lang w:eastAsia="zh-CN" w:bidi="ar"/>
              </w:rPr>
              <w:t>云南省</w:t>
            </w:r>
          </w:p>
        </w:tc>
        <w:tc>
          <w:tcPr>
            <w:tcW w:w="2202"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28</w:t>
            </w:r>
          </w:p>
        </w:tc>
        <w:tc>
          <w:tcPr>
            <w:tcW w:w="2306"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0.64%</w:t>
            </w:r>
          </w:p>
        </w:tc>
      </w:tr>
      <w:tr>
        <w:tblPrEx>
          <w:tblCellMar>
            <w:top w:w="0" w:type="dxa"/>
            <w:left w:w="108" w:type="dxa"/>
            <w:bottom w:w="0" w:type="dxa"/>
            <w:right w:w="108" w:type="dxa"/>
          </w:tblCellMar>
        </w:tblPrEx>
        <w:trPr>
          <w:trHeight w:val="450"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11</w:t>
            </w:r>
          </w:p>
        </w:tc>
        <w:tc>
          <w:tcPr>
            <w:tcW w:w="210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textAlignment w:val="center"/>
              <w:rPr>
                <w:rFonts w:ascii="微软雅黑" w:hAnsi="微软雅黑" w:eastAsia="微软雅黑" w:cs="微软雅黑"/>
                <w:color w:val="FFFFFF"/>
                <w:sz w:val="20"/>
                <w:szCs w:val="20"/>
              </w:rPr>
            </w:pPr>
            <w:r>
              <w:rPr>
                <w:rFonts w:hint="eastAsia" w:ascii="微软雅黑" w:hAnsi="微软雅黑" w:eastAsia="微软雅黑" w:cs="微软雅黑"/>
                <w:sz w:val="20"/>
                <w:szCs w:val="20"/>
                <w:lang w:eastAsia="zh-CN" w:bidi="ar"/>
              </w:rPr>
              <w:t>河北省</w:t>
            </w:r>
          </w:p>
        </w:tc>
        <w:tc>
          <w:tcPr>
            <w:tcW w:w="2202" w:type="dxa"/>
            <w:tcBorders>
              <w:top w:val="single" w:color="auto" w:sz="4" w:space="0"/>
              <w:left w:val="single" w:color="auto" w:sz="4" w:space="0"/>
              <w:bottom w:val="single" w:color="auto" w:sz="4" w:space="0"/>
              <w:right w:val="single" w:color="auto" w:sz="4" w:space="0"/>
            </w:tcBorders>
            <w:shd w:val="clear" w:color="auto" w:fill="EDEFFA"/>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26</w:t>
            </w:r>
          </w:p>
        </w:tc>
        <w:tc>
          <w:tcPr>
            <w:tcW w:w="2306" w:type="dxa"/>
            <w:tcBorders>
              <w:top w:val="single" w:color="auto" w:sz="4" w:space="0"/>
              <w:left w:val="single" w:color="auto" w:sz="4" w:space="0"/>
              <w:bottom w:val="single" w:color="auto" w:sz="4" w:space="0"/>
              <w:right w:val="single" w:color="auto" w:sz="4" w:space="0"/>
            </w:tcBorders>
            <w:shd w:val="clear" w:color="auto" w:fill="EDEFFA"/>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0.60%</w:t>
            </w:r>
          </w:p>
        </w:tc>
      </w:tr>
      <w:tr>
        <w:tblPrEx>
          <w:tblCellMar>
            <w:top w:w="0" w:type="dxa"/>
            <w:left w:w="108" w:type="dxa"/>
            <w:bottom w:w="0" w:type="dxa"/>
            <w:right w:w="108" w:type="dxa"/>
          </w:tblCellMar>
        </w:tblPrEx>
        <w:trPr>
          <w:trHeight w:val="450"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12</w:t>
            </w:r>
          </w:p>
        </w:tc>
        <w:tc>
          <w:tcPr>
            <w:tcW w:w="210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textAlignment w:val="center"/>
              <w:rPr>
                <w:rFonts w:ascii="微软雅黑" w:hAnsi="微软雅黑" w:eastAsia="微软雅黑" w:cs="微软雅黑"/>
                <w:color w:val="FFFFFF"/>
                <w:sz w:val="20"/>
                <w:szCs w:val="20"/>
              </w:rPr>
            </w:pPr>
            <w:r>
              <w:rPr>
                <w:rFonts w:hint="eastAsia" w:ascii="微软雅黑" w:hAnsi="微软雅黑" w:eastAsia="微软雅黑" w:cs="微软雅黑"/>
                <w:sz w:val="20"/>
                <w:szCs w:val="20"/>
                <w:lang w:eastAsia="zh-CN" w:bidi="ar"/>
              </w:rPr>
              <w:t>四川省</w:t>
            </w:r>
          </w:p>
        </w:tc>
        <w:tc>
          <w:tcPr>
            <w:tcW w:w="2202"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26</w:t>
            </w:r>
          </w:p>
        </w:tc>
        <w:tc>
          <w:tcPr>
            <w:tcW w:w="2306"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0.60%</w:t>
            </w:r>
          </w:p>
        </w:tc>
      </w:tr>
      <w:tr>
        <w:tblPrEx>
          <w:tblCellMar>
            <w:top w:w="0" w:type="dxa"/>
            <w:left w:w="108" w:type="dxa"/>
            <w:bottom w:w="0" w:type="dxa"/>
            <w:right w:w="108" w:type="dxa"/>
          </w:tblCellMar>
        </w:tblPrEx>
        <w:trPr>
          <w:trHeight w:val="450"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13</w:t>
            </w:r>
          </w:p>
        </w:tc>
        <w:tc>
          <w:tcPr>
            <w:tcW w:w="210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textAlignment w:val="center"/>
              <w:rPr>
                <w:rFonts w:ascii="微软雅黑" w:hAnsi="微软雅黑" w:eastAsia="微软雅黑" w:cs="微软雅黑"/>
                <w:color w:val="FFFFFF"/>
                <w:sz w:val="20"/>
                <w:szCs w:val="20"/>
              </w:rPr>
            </w:pPr>
            <w:r>
              <w:rPr>
                <w:rFonts w:hint="eastAsia" w:ascii="微软雅黑" w:hAnsi="微软雅黑" w:eastAsia="微软雅黑" w:cs="微软雅黑"/>
                <w:sz w:val="20"/>
                <w:szCs w:val="20"/>
                <w:lang w:eastAsia="zh-CN" w:bidi="ar"/>
              </w:rPr>
              <w:t>安徽省</w:t>
            </w:r>
          </w:p>
        </w:tc>
        <w:tc>
          <w:tcPr>
            <w:tcW w:w="2202" w:type="dxa"/>
            <w:tcBorders>
              <w:top w:val="single" w:color="auto" w:sz="4" w:space="0"/>
              <w:left w:val="single" w:color="auto" w:sz="4" w:space="0"/>
              <w:bottom w:val="single" w:color="auto" w:sz="4" w:space="0"/>
              <w:right w:val="single" w:color="auto" w:sz="4" w:space="0"/>
            </w:tcBorders>
            <w:shd w:val="clear" w:color="auto" w:fill="EDEFFA"/>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23</w:t>
            </w:r>
          </w:p>
        </w:tc>
        <w:tc>
          <w:tcPr>
            <w:tcW w:w="2306" w:type="dxa"/>
            <w:tcBorders>
              <w:top w:val="single" w:color="auto" w:sz="4" w:space="0"/>
              <w:left w:val="single" w:color="auto" w:sz="4" w:space="0"/>
              <w:bottom w:val="single" w:color="auto" w:sz="4" w:space="0"/>
              <w:right w:val="single" w:color="auto" w:sz="4" w:space="0"/>
            </w:tcBorders>
            <w:shd w:val="clear" w:color="auto" w:fill="EDEFFA"/>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0.53%</w:t>
            </w:r>
          </w:p>
        </w:tc>
      </w:tr>
      <w:tr>
        <w:tblPrEx>
          <w:tblCellMar>
            <w:top w:w="0" w:type="dxa"/>
            <w:left w:w="108" w:type="dxa"/>
            <w:bottom w:w="0" w:type="dxa"/>
            <w:right w:w="108" w:type="dxa"/>
          </w:tblCellMar>
        </w:tblPrEx>
        <w:trPr>
          <w:trHeight w:val="450"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14</w:t>
            </w:r>
          </w:p>
        </w:tc>
        <w:tc>
          <w:tcPr>
            <w:tcW w:w="210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textAlignment w:val="center"/>
              <w:rPr>
                <w:rFonts w:ascii="微软雅黑" w:hAnsi="微软雅黑" w:eastAsia="微软雅黑" w:cs="微软雅黑"/>
                <w:color w:val="FFFFFF"/>
                <w:sz w:val="20"/>
                <w:szCs w:val="20"/>
              </w:rPr>
            </w:pPr>
            <w:r>
              <w:rPr>
                <w:rFonts w:hint="eastAsia" w:ascii="微软雅黑" w:hAnsi="微软雅黑" w:eastAsia="微软雅黑" w:cs="微软雅黑"/>
                <w:sz w:val="20"/>
                <w:szCs w:val="20"/>
                <w:lang w:eastAsia="zh-CN" w:bidi="ar"/>
              </w:rPr>
              <w:t>湖北省</w:t>
            </w:r>
          </w:p>
        </w:tc>
        <w:tc>
          <w:tcPr>
            <w:tcW w:w="2202"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19</w:t>
            </w:r>
          </w:p>
        </w:tc>
        <w:tc>
          <w:tcPr>
            <w:tcW w:w="2306"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0.44%</w:t>
            </w:r>
          </w:p>
        </w:tc>
      </w:tr>
      <w:tr>
        <w:tblPrEx>
          <w:tblCellMar>
            <w:top w:w="0" w:type="dxa"/>
            <w:left w:w="108" w:type="dxa"/>
            <w:bottom w:w="0" w:type="dxa"/>
            <w:right w:w="108" w:type="dxa"/>
          </w:tblCellMar>
        </w:tblPrEx>
        <w:trPr>
          <w:trHeight w:val="450"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15</w:t>
            </w:r>
          </w:p>
        </w:tc>
        <w:tc>
          <w:tcPr>
            <w:tcW w:w="210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textAlignment w:val="center"/>
              <w:rPr>
                <w:rFonts w:ascii="微软雅黑" w:hAnsi="微软雅黑" w:eastAsia="微软雅黑" w:cs="微软雅黑"/>
                <w:color w:val="FFFFFF"/>
                <w:sz w:val="20"/>
                <w:szCs w:val="20"/>
              </w:rPr>
            </w:pPr>
            <w:r>
              <w:rPr>
                <w:rFonts w:hint="eastAsia" w:ascii="微软雅黑" w:hAnsi="微软雅黑" w:eastAsia="微软雅黑" w:cs="微软雅黑"/>
                <w:sz w:val="20"/>
                <w:szCs w:val="20"/>
                <w:lang w:eastAsia="zh-CN" w:bidi="ar"/>
              </w:rPr>
              <w:t>吉林省</w:t>
            </w:r>
          </w:p>
        </w:tc>
        <w:tc>
          <w:tcPr>
            <w:tcW w:w="2202" w:type="dxa"/>
            <w:tcBorders>
              <w:top w:val="single" w:color="auto" w:sz="4" w:space="0"/>
              <w:left w:val="single" w:color="auto" w:sz="4" w:space="0"/>
              <w:bottom w:val="single" w:color="auto" w:sz="4" w:space="0"/>
              <w:right w:val="single" w:color="auto" w:sz="4" w:space="0"/>
            </w:tcBorders>
            <w:shd w:val="clear" w:color="auto" w:fill="EDEFFA"/>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17</w:t>
            </w:r>
          </w:p>
        </w:tc>
        <w:tc>
          <w:tcPr>
            <w:tcW w:w="2306" w:type="dxa"/>
            <w:tcBorders>
              <w:top w:val="single" w:color="auto" w:sz="4" w:space="0"/>
              <w:left w:val="single" w:color="auto" w:sz="4" w:space="0"/>
              <w:bottom w:val="single" w:color="auto" w:sz="4" w:space="0"/>
              <w:right w:val="single" w:color="auto" w:sz="4" w:space="0"/>
            </w:tcBorders>
            <w:shd w:val="clear" w:color="auto" w:fill="EDEFFA"/>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0.39%</w:t>
            </w:r>
          </w:p>
        </w:tc>
      </w:tr>
      <w:tr>
        <w:tblPrEx>
          <w:tblCellMar>
            <w:top w:w="0" w:type="dxa"/>
            <w:left w:w="108" w:type="dxa"/>
            <w:bottom w:w="0" w:type="dxa"/>
            <w:right w:w="108" w:type="dxa"/>
          </w:tblCellMar>
        </w:tblPrEx>
        <w:trPr>
          <w:trHeight w:val="450"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16</w:t>
            </w:r>
          </w:p>
        </w:tc>
        <w:tc>
          <w:tcPr>
            <w:tcW w:w="210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textAlignment w:val="center"/>
              <w:rPr>
                <w:rFonts w:ascii="微软雅黑" w:hAnsi="微软雅黑" w:eastAsia="微软雅黑" w:cs="微软雅黑"/>
                <w:color w:val="FFFFFF"/>
                <w:sz w:val="20"/>
                <w:szCs w:val="20"/>
              </w:rPr>
            </w:pPr>
            <w:r>
              <w:rPr>
                <w:rFonts w:hint="eastAsia" w:ascii="微软雅黑" w:hAnsi="微软雅黑" w:eastAsia="微软雅黑" w:cs="微软雅黑"/>
                <w:sz w:val="20"/>
                <w:szCs w:val="20"/>
                <w:lang w:eastAsia="zh-CN" w:bidi="ar"/>
              </w:rPr>
              <w:t>重庆市</w:t>
            </w:r>
          </w:p>
        </w:tc>
        <w:tc>
          <w:tcPr>
            <w:tcW w:w="2202"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17</w:t>
            </w:r>
          </w:p>
        </w:tc>
        <w:tc>
          <w:tcPr>
            <w:tcW w:w="2306"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0.39%</w:t>
            </w:r>
          </w:p>
        </w:tc>
      </w:tr>
      <w:tr>
        <w:tblPrEx>
          <w:tblCellMar>
            <w:top w:w="0" w:type="dxa"/>
            <w:left w:w="108" w:type="dxa"/>
            <w:bottom w:w="0" w:type="dxa"/>
            <w:right w:w="108" w:type="dxa"/>
          </w:tblCellMar>
        </w:tblPrEx>
        <w:trPr>
          <w:trHeight w:val="450"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17</w:t>
            </w:r>
          </w:p>
        </w:tc>
        <w:tc>
          <w:tcPr>
            <w:tcW w:w="210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textAlignment w:val="center"/>
              <w:rPr>
                <w:rFonts w:ascii="微软雅黑" w:hAnsi="微软雅黑" w:eastAsia="微软雅黑" w:cs="微软雅黑"/>
                <w:color w:val="FFFFFF"/>
                <w:sz w:val="20"/>
                <w:szCs w:val="20"/>
              </w:rPr>
            </w:pPr>
            <w:r>
              <w:rPr>
                <w:rFonts w:hint="eastAsia" w:ascii="微软雅黑" w:hAnsi="微软雅黑" w:eastAsia="微软雅黑" w:cs="微软雅黑"/>
                <w:sz w:val="20"/>
                <w:szCs w:val="20"/>
                <w:lang w:eastAsia="zh-CN" w:bidi="ar"/>
              </w:rPr>
              <w:t>内蒙古自治区</w:t>
            </w:r>
          </w:p>
        </w:tc>
        <w:tc>
          <w:tcPr>
            <w:tcW w:w="2202" w:type="dxa"/>
            <w:tcBorders>
              <w:top w:val="single" w:color="auto" w:sz="4" w:space="0"/>
              <w:left w:val="single" w:color="auto" w:sz="4" w:space="0"/>
              <w:bottom w:val="single" w:color="auto" w:sz="4" w:space="0"/>
              <w:right w:val="single" w:color="auto" w:sz="4" w:space="0"/>
            </w:tcBorders>
            <w:shd w:val="clear" w:color="auto" w:fill="EDEFFA"/>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15</w:t>
            </w:r>
          </w:p>
        </w:tc>
        <w:tc>
          <w:tcPr>
            <w:tcW w:w="2306" w:type="dxa"/>
            <w:tcBorders>
              <w:top w:val="single" w:color="auto" w:sz="4" w:space="0"/>
              <w:left w:val="single" w:color="auto" w:sz="4" w:space="0"/>
              <w:bottom w:val="single" w:color="auto" w:sz="4" w:space="0"/>
              <w:right w:val="single" w:color="auto" w:sz="4" w:space="0"/>
            </w:tcBorders>
            <w:shd w:val="clear" w:color="auto" w:fill="EDEFFA"/>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0.34%</w:t>
            </w:r>
          </w:p>
        </w:tc>
      </w:tr>
      <w:tr>
        <w:tblPrEx>
          <w:tblCellMar>
            <w:top w:w="0" w:type="dxa"/>
            <w:left w:w="108" w:type="dxa"/>
            <w:bottom w:w="0" w:type="dxa"/>
            <w:right w:w="108" w:type="dxa"/>
          </w:tblCellMar>
        </w:tblPrEx>
        <w:trPr>
          <w:trHeight w:val="450"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18</w:t>
            </w:r>
          </w:p>
        </w:tc>
        <w:tc>
          <w:tcPr>
            <w:tcW w:w="210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textAlignment w:val="center"/>
              <w:rPr>
                <w:rFonts w:ascii="微软雅黑" w:hAnsi="微软雅黑" w:eastAsia="微软雅黑" w:cs="微软雅黑"/>
                <w:color w:val="FFFFFF"/>
                <w:sz w:val="20"/>
                <w:szCs w:val="20"/>
              </w:rPr>
            </w:pPr>
            <w:r>
              <w:rPr>
                <w:rFonts w:hint="eastAsia" w:ascii="微软雅黑" w:hAnsi="微软雅黑" w:eastAsia="微软雅黑" w:cs="微软雅黑"/>
                <w:sz w:val="20"/>
                <w:szCs w:val="20"/>
                <w:lang w:eastAsia="zh-CN" w:bidi="ar"/>
              </w:rPr>
              <w:t>山西省</w:t>
            </w:r>
          </w:p>
        </w:tc>
        <w:tc>
          <w:tcPr>
            <w:tcW w:w="2202"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14</w:t>
            </w:r>
          </w:p>
        </w:tc>
        <w:tc>
          <w:tcPr>
            <w:tcW w:w="2306"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0.32%</w:t>
            </w:r>
          </w:p>
        </w:tc>
      </w:tr>
      <w:tr>
        <w:tblPrEx>
          <w:tblCellMar>
            <w:top w:w="0" w:type="dxa"/>
            <w:left w:w="108" w:type="dxa"/>
            <w:bottom w:w="0" w:type="dxa"/>
            <w:right w:w="108" w:type="dxa"/>
          </w:tblCellMar>
        </w:tblPrEx>
        <w:trPr>
          <w:trHeight w:val="450"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19</w:t>
            </w:r>
          </w:p>
        </w:tc>
        <w:tc>
          <w:tcPr>
            <w:tcW w:w="210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textAlignment w:val="center"/>
              <w:rPr>
                <w:rFonts w:ascii="微软雅黑" w:hAnsi="微软雅黑" w:eastAsia="微软雅黑" w:cs="微软雅黑"/>
                <w:color w:val="FFFFFF"/>
                <w:sz w:val="20"/>
                <w:szCs w:val="20"/>
              </w:rPr>
            </w:pPr>
            <w:r>
              <w:rPr>
                <w:rFonts w:hint="eastAsia" w:ascii="微软雅黑" w:hAnsi="微软雅黑" w:eastAsia="微软雅黑" w:cs="微软雅黑"/>
                <w:sz w:val="20"/>
                <w:szCs w:val="20"/>
                <w:lang w:eastAsia="zh-CN" w:bidi="ar"/>
              </w:rPr>
              <w:t>甘肃省</w:t>
            </w:r>
          </w:p>
        </w:tc>
        <w:tc>
          <w:tcPr>
            <w:tcW w:w="2202" w:type="dxa"/>
            <w:tcBorders>
              <w:top w:val="single" w:color="auto" w:sz="4" w:space="0"/>
              <w:left w:val="single" w:color="auto" w:sz="4" w:space="0"/>
              <w:bottom w:val="single" w:color="auto" w:sz="4" w:space="0"/>
              <w:right w:val="single" w:color="auto" w:sz="4" w:space="0"/>
            </w:tcBorders>
            <w:shd w:val="clear" w:color="auto" w:fill="EDEFFA"/>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13</w:t>
            </w:r>
          </w:p>
        </w:tc>
        <w:tc>
          <w:tcPr>
            <w:tcW w:w="2306" w:type="dxa"/>
            <w:tcBorders>
              <w:top w:val="single" w:color="auto" w:sz="4" w:space="0"/>
              <w:left w:val="single" w:color="auto" w:sz="4" w:space="0"/>
              <w:bottom w:val="single" w:color="auto" w:sz="4" w:space="0"/>
              <w:right w:val="single" w:color="auto" w:sz="4" w:space="0"/>
            </w:tcBorders>
            <w:shd w:val="clear" w:color="auto" w:fill="EDEFFA"/>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0.30%</w:t>
            </w:r>
          </w:p>
        </w:tc>
      </w:tr>
      <w:tr>
        <w:tblPrEx>
          <w:tblCellMar>
            <w:top w:w="0" w:type="dxa"/>
            <w:left w:w="108" w:type="dxa"/>
            <w:bottom w:w="0" w:type="dxa"/>
            <w:right w:w="108" w:type="dxa"/>
          </w:tblCellMar>
        </w:tblPrEx>
        <w:trPr>
          <w:trHeight w:val="450"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20</w:t>
            </w:r>
          </w:p>
        </w:tc>
        <w:tc>
          <w:tcPr>
            <w:tcW w:w="210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textAlignment w:val="center"/>
              <w:rPr>
                <w:rFonts w:ascii="微软雅黑" w:hAnsi="微软雅黑" w:eastAsia="微软雅黑" w:cs="微软雅黑"/>
                <w:color w:val="FFFFFF"/>
                <w:sz w:val="20"/>
                <w:szCs w:val="20"/>
              </w:rPr>
            </w:pPr>
            <w:r>
              <w:rPr>
                <w:rFonts w:hint="eastAsia" w:ascii="微软雅黑" w:hAnsi="微软雅黑" w:eastAsia="微软雅黑" w:cs="微软雅黑"/>
                <w:sz w:val="20"/>
                <w:szCs w:val="20"/>
                <w:lang w:eastAsia="zh-CN" w:bidi="ar"/>
              </w:rPr>
              <w:t>陕西省</w:t>
            </w:r>
          </w:p>
        </w:tc>
        <w:tc>
          <w:tcPr>
            <w:tcW w:w="2202"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11</w:t>
            </w:r>
          </w:p>
        </w:tc>
        <w:tc>
          <w:tcPr>
            <w:tcW w:w="2306"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0.25%</w:t>
            </w:r>
          </w:p>
        </w:tc>
      </w:tr>
      <w:tr>
        <w:tblPrEx>
          <w:tblCellMar>
            <w:top w:w="0" w:type="dxa"/>
            <w:left w:w="108" w:type="dxa"/>
            <w:bottom w:w="0" w:type="dxa"/>
            <w:right w:w="108" w:type="dxa"/>
          </w:tblCellMar>
        </w:tblPrEx>
        <w:trPr>
          <w:trHeight w:val="450"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21</w:t>
            </w:r>
          </w:p>
        </w:tc>
        <w:tc>
          <w:tcPr>
            <w:tcW w:w="210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textAlignment w:val="center"/>
              <w:rPr>
                <w:rFonts w:ascii="微软雅黑" w:hAnsi="微软雅黑" w:eastAsia="微软雅黑" w:cs="微软雅黑"/>
                <w:color w:val="FFFFFF"/>
                <w:sz w:val="20"/>
                <w:szCs w:val="20"/>
              </w:rPr>
            </w:pPr>
            <w:r>
              <w:rPr>
                <w:rFonts w:hint="eastAsia" w:ascii="微软雅黑" w:hAnsi="微软雅黑" w:eastAsia="微软雅黑" w:cs="微软雅黑"/>
                <w:sz w:val="20"/>
                <w:szCs w:val="20"/>
                <w:lang w:eastAsia="zh-CN" w:bidi="ar"/>
              </w:rPr>
              <w:t>辽宁省</w:t>
            </w:r>
          </w:p>
        </w:tc>
        <w:tc>
          <w:tcPr>
            <w:tcW w:w="2202" w:type="dxa"/>
            <w:tcBorders>
              <w:top w:val="single" w:color="auto" w:sz="4" w:space="0"/>
              <w:left w:val="single" w:color="auto" w:sz="4" w:space="0"/>
              <w:bottom w:val="single" w:color="auto" w:sz="4" w:space="0"/>
              <w:right w:val="single" w:color="auto" w:sz="4" w:space="0"/>
            </w:tcBorders>
            <w:shd w:val="clear" w:color="auto" w:fill="EDEFFA"/>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10</w:t>
            </w:r>
          </w:p>
        </w:tc>
        <w:tc>
          <w:tcPr>
            <w:tcW w:w="2306" w:type="dxa"/>
            <w:tcBorders>
              <w:top w:val="single" w:color="auto" w:sz="4" w:space="0"/>
              <w:left w:val="single" w:color="auto" w:sz="4" w:space="0"/>
              <w:bottom w:val="single" w:color="auto" w:sz="4" w:space="0"/>
              <w:right w:val="single" w:color="auto" w:sz="4" w:space="0"/>
            </w:tcBorders>
            <w:shd w:val="clear" w:color="auto" w:fill="EDEFFA"/>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0.23%</w:t>
            </w:r>
          </w:p>
        </w:tc>
      </w:tr>
      <w:tr>
        <w:tblPrEx>
          <w:tblCellMar>
            <w:top w:w="0" w:type="dxa"/>
            <w:left w:w="108" w:type="dxa"/>
            <w:bottom w:w="0" w:type="dxa"/>
            <w:right w:w="108" w:type="dxa"/>
          </w:tblCellMar>
        </w:tblPrEx>
        <w:trPr>
          <w:trHeight w:val="450"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22</w:t>
            </w:r>
          </w:p>
        </w:tc>
        <w:tc>
          <w:tcPr>
            <w:tcW w:w="210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textAlignment w:val="center"/>
              <w:rPr>
                <w:rFonts w:ascii="微软雅黑" w:hAnsi="微软雅黑" w:eastAsia="微软雅黑" w:cs="微软雅黑"/>
                <w:color w:val="FFFFFF"/>
                <w:sz w:val="20"/>
                <w:szCs w:val="20"/>
              </w:rPr>
            </w:pPr>
            <w:r>
              <w:rPr>
                <w:rFonts w:hint="eastAsia" w:ascii="微软雅黑" w:hAnsi="微软雅黑" w:eastAsia="微软雅黑" w:cs="微软雅黑"/>
                <w:sz w:val="20"/>
                <w:szCs w:val="20"/>
                <w:lang w:eastAsia="zh-CN" w:bidi="ar"/>
              </w:rPr>
              <w:t>黑龙江省</w:t>
            </w:r>
          </w:p>
        </w:tc>
        <w:tc>
          <w:tcPr>
            <w:tcW w:w="2202"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8</w:t>
            </w:r>
          </w:p>
        </w:tc>
        <w:tc>
          <w:tcPr>
            <w:tcW w:w="2306"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0.18%</w:t>
            </w:r>
          </w:p>
        </w:tc>
      </w:tr>
      <w:tr>
        <w:tblPrEx>
          <w:tblCellMar>
            <w:top w:w="0" w:type="dxa"/>
            <w:left w:w="108" w:type="dxa"/>
            <w:bottom w:w="0" w:type="dxa"/>
            <w:right w:w="108" w:type="dxa"/>
          </w:tblCellMar>
        </w:tblPrEx>
        <w:trPr>
          <w:trHeight w:val="450"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23</w:t>
            </w:r>
          </w:p>
        </w:tc>
        <w:tc>
          <w:tcPr>
            <w:tcW w:w="210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textAlignment w:val="center"/>
              <w:rPr>
                <w:rFonts w:ascii="微软雅黑" w:hAnsi="微软雅黑" w:eastAsia="微软雅黑" w:cs="微软雅黑"/>
                <w:color w:val="FFFFFF"/>
                <w:sz w:val="20"/>
                <w:szCs w:val="20"/>
              </w:rPr>
            </w:pPr>
            <w:r>
              <w:rPr>
                <w:rFonts w:hint="eastAsia" w:ascii="微软雅黑" w:hAnsi="微软雅黑" w:eastAsia="微软雅黑" w:cs="微软雅黑"/>
                <w:sz w:val="20"/>
                <w:szCs w:val="20"/>
                <w:lang w:eastAsia="zh-CN" w:bidi="ar"/>
              </w:rPr>
              <w:t>福建省</w:t>
            </w:r>
          </w:p>
        </w:tc>
        <w:tc>
          <w:tcPr>
            <w:tcW w:w="2202" w:type="dxa"/>
            <w:tcBorders>
              <w:top w:val="single" w:color="auto" w:sz="4" w:space="0"/>
              <w:left w:val="single" w:color="auto" w:sz="4" w:space="0"/>
              <w:bottom w:val="single" w:color="auto" w:sz="4" w:space="0"/>
              <w:right w:val="single" w:color="auto" w:sz="4" w:space="0"/>
            </w:tcBorders>
            <w:shd w:val="clear" w:color="auto" w:fill="EDEFFA"/>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6</w:t>
            </w:r>
          </w:p>
        </w:tc>
        <w:tc>
          <w:tcPr>
            <w:tcW w:w="2306" w:type="dxa"/>
            <w:tcBorders>
              <w:top w:val="single" w:color="auto" w:sz="4" w:space="0"/>
              <w:left w:val="single" w:color="auto" w:sz="4" w:space="0"/>
              <w:bottom w:val="single" w:color="auto" w:sz="4" w:space="0"/>
              <w:right w:val="single" w:color="auto" w:sz="4" w:space="0"/>
            </w:tcBorders>
            <w:shd w:val="clear" w:color="auto" w:fill="EDEFFA"/>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0.14%</w:t>
            </w:r>
          </w:p>
        </w:tc>
      </w:tr>
      <w:tr>
        <w:tblPrEx>
          <w:tblCellMar>
            <w:top w:w="0" w:type="dxa"/>
            <w:left w:w="108" w:type="dxa"/>
            <w:bottom w:w="0" w:type="dxa"/>
            <w:right w:w="108" w:type="dxa"/>
          </w:tblCellMar>
        </w:tblPrEx>
        <w:trPr>
          <w:trHeight w:val="450"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24</w:t>
            </w:r>
          </w:p>
        </w:tc>
        <w:tc>
          <w:tcPr>
            <w:tcW w:w="210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textAlignment w:val="center"/>
              <w:rPr>
                <w:rFonts w:ascii="微软雅黑" w:hAnsi="微软雅黑" w:eastAsia="微软雅黑" w:cs="微软雅黑"/>
                <w:color w:val="FFFFFF"/>
                <w:sz w:val="20"/>
                <w:szCs w:val="20"/>
              </w:rPr>
            </w:pPr>
            <w:r>
              <w:rPr>
                <w:rFonts w:hint="eastAsia" w:ascii="微软雅黑" w:hAnsi="微软雅黑" w:eastAsia="微软雅黑" w:cs="微软雅黑"/>
                <w:sz w:val="20"/>
                <w:szCs w:val="20"/>
                <w:lang w:eastAsia="zh-CN" w:bidi="ar"/>
              </w:rPr>
              <w:t>新疆维吾尔自治区</w:t>
            </w:r>
          </w:p>
        </w:tc>
        <w:tc>
          <w:tcPr>
            <w:tcW w:w="2202"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6</w:t>
            </w:r>
          </w:p>
        </w:tc>
        <w:tc>
          <w:tcPr>
            <w:tcW w:w="2306"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0.14%</w:t>
            </w:r>
          </w:p>
        </w:tc>
      </w:tr>
      <w:tr>
        <w:tblPrEx>
          <w:tblCellMar>
            <w:top w:w="0" w:type="dxa"/>
            <w:left w:w="108" w:type="dxa"/>
            <w:bottom w:w="0" w:type="dxa"/>
            <w:right w:w="108" w:type="dxa"/>
          </w:tblCellMar>
        </w:tblPrEx>
        <w:trPr>
          <w:trHeight w:val="450"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25</w:t>
            </w:r>
          </w:p>
        </w:tc>
        <w:tc>
          <w:tcPr>
            <w:tcW w:w="210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textAlignment w:val="center"/>
              <w:rPr>
                <w:rFonts w:ascii="微软雅黑" w:hAnsi="微软雅黑" w:eastAsia="微软雅黑" w:cs="微软雅黑"/>
                <w:color w:val="FFFFFF"/>
                <w:sz w:val="20"/>
                <w:szCs w:val="20"/>
              </w:rPr>
            </w:pPr>
            <w:r>
              <w:rPr>
                <w:rFonts w:hint="eastAsia" w:ascii="微软雅黑" w:hAnsi="微软雅黑" w:eastAsia="微软雅黑" w:cs="微软雅黑"/>
                <w:sz w:val="20"/>
                <w:szCs w:val="20"/>
                <w:lang w:eastAsia="zh-CN" w:bidi="ar"/>
              </w:rPr>
              <w:t>江苏省</w:t>
            </w:r>
          </w:p>
        </w:tc>
        <w:tc>
          <w:tcPr>
            <w:tcW w:w="2202" w:type="dxa"/>
            <w:tcBorders>
              <w:top w:val="single" w:color="auto" w:sz="4" w:space="0"/>
              <w:left w:val="single" w:color="auto" w:sz="4" w:space="0"/>
              <w:bottom w:val="single" w:color="auto" w:sz="4" w:space="0"/>
              <w:right w:val="single" w:color="auto" w:sz="4" w:space="0"/>
            </w:tcBorders>
            <w:shd w:val="clear" w:color="auto" w:fill="EDEFFA"/>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3</w:t>
            </w:r>
          </w:p>
        </w:tc>
        <w:tc>
          <w:tcPr>
            <w:tcW w:w="2306" w:type="dxa"/>
            <w:tcBorders>
              <w:top w:val="single" w:color="auto" w:sz="4" w:space="0"/>
              <w:left w:val="single" w:color="auto" w:sz="4" w:space="0"/>
              <w:bottom w:val="single" w:color="auto" w:sz="4" w:space="0"/>
              <w:right w:val="single" w:color="auto" w:sz="4" w:space="0"/>
            </w:tcBorders>
            <w:shd w:val="clear" w:color="auto" w:fill="EDEFFA"/>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0.07%</w:t>
            </w:r>
          </w:p>
        </w:tc>
      </w:tr>
      <w:tr>
        <w:tblPrEx>
          <w:tblCellMar>
            <w:top w:w="0" w:type="dxa"/>
            <w:left w:w="108" w:type="dxa"/>
            <w:bottom w:w="0" w:type="dxa"/>
            <w:right w:w="108" w:type="dxa"/>
          </w:tblCellMar>
        </w:tblPrEx>
        <w:trPr>
          <w:trHeight w:val="450"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26</w:t>
            </w:r>
          </w:p>
        </w:tc>
        <w:tc>
          <w:tcPr>
            <w:tcW w:w="210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textAlignment w:val="center"/>
              <w:rPr>
                <w:rFonts w:ascii="微软雅黑" w:hAnsi="微软雅黑" w:eastAsia="微软雅黑" w:cs="微软雅黑"/>
                <w:color w:val="FFFFFF"/>
                <w:sz w:val="20"/>
                <w:szCs w:val="20"/>
              </w:rPr>
            </w:pPr>
            <w:r>
              <w:rPr>
                <w:rFonts w:hint="eastAsia" w:ascii="微软雅黑" w:hAnsi="微软雅黑" w:eastAsia="微软雅黑" w:cs="微软雅黑"/>
                <w:sz w:val="20"/>
                <w:szCs w:val="20"/>
                <w:lang w:eastAsia="zh-CN" w:bidi="ar"/>
              </w:rPr>
              <w:t>宁夏回族自治区</w:t>
            </w:r>
          </w:p>
        </w:tc>
        <w:tc>
          <w:tcPr>
            <w:tcW w:w="2202"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3</w:t>
            </w:r>
          </w:p>
        </w:tc>
        <w:tc>
          <w:tcPr>
            <w:tcW w:w="2306"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0.07%</w:t>
            </w:r>
          </w:p>
        </w:tc>
      </w:tr>
      <w:tr>
        <w:tblPrEx>
          <w:tblCellMar>
            <w:top w:w="0" w:type="dxa"/>
            <w:left w:w="108" w:type="dxa"/>
            <w:bottom w:w="0" w:type="dxa"/>
            <w:right w:w="108" w:type="dxa"/>
          </w:tblCellMar>
        </w:tblPrEx>
        <w:trPr>
          <w:trHeight w:val="450"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27</w:t>
            </w:r>
          </w:p>
        </w:tc>
        <w:tc>
          <w:tcPr>
            <w:tcW w:w="210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textAlignment w:val="center"/>
              <w:rPr>
                <w:rFonts w:ascii="微软雅黑" w:hAnsi="微软雅黑" w:eastAsia="微软雅黑" w:cs="微软雅黑"/>
                <w:color w:val="FFFFFF"/>
                <w:sz w:val="20"/>
                <w:szCs w:val="20"/>
              </w:rPr>
            </w:pPr>
            <w:r>
              <w:rPr>
                <w:rFonts w:hint="eastAsia" w:ascii="微软雅黑" w:hAnsi="微软雅黑" w:eastAsia="微软雅黑" w:cs="微软雅黑"/>
                <w:sz w:val="20"/>
                <w:szCs w:val="20"/>
                <w:lang w:eastAsia="zh-CN" w:bidi="ar"/>
              </w:rPr>
              <w:t>青海省</w:t>
            </w:r>
          </w:p>
        </w:tc>
        <w:tc>
          <w:tcPr>
            <w:tcW w:w="2202" w:type="dxa"/>
            <w:tcBorders>
              <w:top w:val="single" w:color="auto" w:sz="4" w:space="0"/>
              <w:left w:val="single" w:color="auto" w:sz="4" w:space="0"/>
              <w:bottom w:val="single" w:color="auto" w:sz="4" w:space="0"/>
              <w:right w:val="single" w:color="auto" w:sz="4" w:space="0"/>
            </w:tcBorders>
            <w:shd w:val="clear" w:color="auto" w:fill="EDEFFA"/>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2</w:t>
            </w:r>
          </w:p>
        </w:tc>
        <w:tc>
          <w:tcPr>
            <w:tcW w:w="2306" w:type="dxa"/>
            <w:tcBorders>
              <w:top w:val="single" w:color="auto" w:sz="4" w:space="0"/>
              <w:left w:val="single" w:color="auto" w:sz="4" w:space="0"/>
              <w:bottom w:val="single" w:color="auto" w:sz="4" w:space="0"/>
              <w:right w:val="single" w:color="auto" w:sz="4" w:space="0"/>
            </w:tcBorders>
            <w:shd w:val="clear" w:color="auto" w:fill="EDEFFA"/>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0.05%</w:t>
            </w:r>
          </w:p>
        </w:tc>
      </w:tr>
      <w:tr>
        <w:tblPrEx>
          <w:tblCellMar>
            <w:top w:w="0" w:type="dxa"/>
            <w:left w:w="108" w:type="dxa"/>
            <w:bottom w:w="0" w:type="dxa"/>
            <w:right w:w="108" w:type="dxa"/>
          </w:tblCellMar>
        </w:tblPrEx>
        <w:trPr>
          <w:trHeight w:val="450"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28</w:t>
            </w:r>
          </w:p>
        </w:tc>
        <w:tc>
          <w:tcPr>
            <w:tcW w:w="210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textAlignment w:val="center"/>
              <w:rPr>
                <w:rFonts w:ascii="微软雅黑" w:hAnsi="微软雅黑" w:eastAsia="微软雅黑" w:cs="微软雅黑"/>
                <w:color w:val="FFFFFF"/>
                <w:sz w:val="20"/>
                <w:szCs w:val="20"/>
              </w:rPr>
            </w:pPr>
            <w:r>
              <w:rPr>
                <w:rFonts w:hint="eastAsia" w:ascii="微软雅黑" w:hAnsi="微软雅黑" w:eastAsia="微软雅黑" w:cs="微软雅黑"/>
                <w:sz w:val="20"/>
                <w:szCs w:val="20"/>
                <w:lang w:eastAsia="zh-CN" w:bidi="ar"/>
              </w:rPr>
              <w:t>北京市</w:t>
            </w:r>
          </w:p>
        </w:tc>
        <w:tc>
          <w:tcPr>
            <w:tcW w:w="2202"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1</w:t>
            </w:r>
          </w:p>
        </w:tc>
        <w:tc>
          <w:tcPr>
            <w:tcW w:w="2306"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0.02%</w:t>
            </w:r>
          </w:p>
        </w:tc>
      </w:tr>
      <w:tr>
        <w:tblPrEx>
          <w:tblCellMar>
            <w:top w:w="0" w:type="dxa"/>
            <w:left w:w="108" w:type="dxa"/>
            <w:bottom w:w="0" w:type="dxa"/>
            <w:right w:w="108" w:type="dxa"/>
          </w:tblCellMar>
        </w:tblPrEx>
        <w:trPr>
          <w:trHeight w:val="450" w:hRule="atLeast"/>
          <w:jc w:val="center"/>
        </w:trPr>
        <w:tc>
          <w:tcPr>
            <w:tcW w:w="101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29</w:t>
            </w:r>
          </w:p>
        </w:tc>
        <w:tc>
          <w:tcPr>
            <w:tcW w:w="210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textAlignment w:val="center"/>
              <w:rPr>
                <w:rFonts w:ascii="微软雅黑" w:hAnsi="微软雅黑" w:eastAsia="微软雅黑" w:cs="微软雅黑"/>
                <w:color w:val="FFFFFF"/>
                <w:sz w:val="20"/>
                <w:szCs w:val="20"/>
              </w:rPr>
            </w:pPr>
            <w:r>
              <w:rPr>
                <w:rFonts w:hint="eastAsia" w:ascii="微软雅黑" w:hAnsi="微软雅黑" w:eastAsia="微软雅黑" w:cs="微软雅黑"/>
                <w:sz w:val="20"/>
                <w:szCs w:val="20"/>
                <w:lang w:eastAsia="zh-CN" w:bidi="ar"/>
              </w:rPr>
              <w:t>上海市</w:t>
            </w:r>
          </w:p>
        </w:tc>
        <w:tc>
          <w:tcPr>
            <w:tcW w:w="2202" w:type="dxa"/>
            <w:tcBorders>
              <w:top w:val="single" w:color="auto" w:sz="4" w:space="0"/>
              <w:left w:val="single" w:color="auto" w:sz="4" w:space="0"/>
              <w:bottom w:val="single" w:color="auto" w:sz="4" w:space="0"/>
              <w:right w:val="single" w:color="auto" w:sz="4" w:space="0"/>
            </w:tcBorders>
            <w:shd w:val="clear" w:color="auto" w:fill="EDEFFA"/>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1</w:t>
            </w:r>
          </w:p>
        </w:tc>
        <w:tc>
          <w:tcPr>
            <w:tcW w:w="2306" w:type="dxa"/>
            <w:tcBorders>
              <w:top w:val="single" w:color="auto" w:sz="4" w:space="0"/>
              <w:left w:val="single" w:color="auto" w:sz="4" w:space="0"/>
              <w:bottom w:val="single" w:color="auto" w:sz="4" w:space="0"/>
              <w:right w:val="single" w:color="auto" w:sz="4" w:space="0"/>
            </w:tcBorders>
            <w:shd w:val="clear" w:color="auto" w:fill="EDEFFA"/>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0.02%</w:t>
            </w:r>
          </w:p>
        </w:tc>
      </w:tr>
    </w:tbl>
    <w:p>
      <w:pPr>
        <w:rPr>
          <w:snapToGrid/>
          <w:sz w:val="21"/>
          <w:lang w:eastAsia="zh-CN"/>
        </w:rPr>
      </w:pPr>
      <w:r>
        <w:rPr>
          <w:rFonts w:hint="eastAsia" w:ascii="仿宋" w:hAnsi="仿宋"/>
          <w:sz w:val="21"/>
          <w:lang w:eastAsia="zh-CN"/>
        </w:rPr>
        <w:t>数据来源：全国高校毕业生就业管理系统</w:t>
      </w:r>
    </w:p>
    <w:p>
      <w:pPr>
        <w:ind w:firstLine="640"/>
        <w:rPr>
          <w:lang w:eastAsia="zh-CN"/>
        </w:rPr>
      </w:pPr>
      <w:r>
        <w:rPr>
          <w:lang w:eastAsia="zh-CN"/>
        </w:rPr>
        <w:t>我校2022届毕业生生源分布在全国29个省市，生源较多的地区分别是海南省（74.82%）、广西壮族自治区（6.73%）、贵州省（4.73%），生源最少的地区是北京市和上海市（0.02%）</w:t>
      </w:r>
    </w:p>
    <w:p>
      <w:pPr>
        <w:pStyle w:val="3"/>
        <w:ind w:firstLine="643"/>
        <w:rPr>
          <w:lang w:eastAsia="zh-CN"/>
        </w:rPr>
      </w:pPr>
      <w:bookmarkStart w:id="6" w:name="_Toc151887671"/>
      <w:r>
        <w:rPr>
          <w:rFonts w:hint="eastAsia"/>
          <w:lang w:eastAsia="zh-CN"/>
        </w:rPr>
        <w:t>（四）毕业生省内生源结构</w:t>
      </w:r>
      <w:bookmarkEnd w:id="6"/>
    </w:p>
    <w:p>
      <w:pPr>
        <w:spacing w:before="92" w:line="411" w:lineRule="auto"/>
        <w:ind w:right="1" w:firstLine="640"/>
        <w:jc w:val="center"/>
      </w:pPr>
      <w:r>
        <w:drawing>
          <wp:inline distT="0" distB="0" distL="114300" distR="114300">
            <wp:extent cx="4897755" cy="2766695"/>
            <wp:effectExtent l="4445" t="4445" r="12700" b="10160"/>
            <wp:docPr id="7"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ind w:firstLine="422"/>
        <w:jc w:val="center"/>
        <w:rPr>
          <w:rFonts w:ascii="宋体" w:hAnsi="宋体" w:eastAsia="宋体" w:cs="宋体"/>
          <w:bCs/>
          <w:spacing w:val="7"/>
          <w:sz w:val="31"/>
          <w:szCs w:val="31"/>
          <w:lang w:eastAsia="zh-CN"/>
          <w14:textOutline w14:w="5791" w14:cap="sq" w14:cmpd="sng" w14:algn="ctr">
            <w14:solidFill>
              <w14:srgbClr w14:val="000000"/>
            </w14:solidFill>
            <w14:prstDash w14:val="solid"/>
            <w14:bevel/>
          </w14:textOutline>
        </w:rPr>
      </w:pPr>
      <w:r>
        <w:rPr>
          <w:rFonts w:hint="eastAsia" w:eastAsia="黑体"/>
          <w:b/>
          <w:sz w:val="21"/>
          <w:lang w:eastAsia="zh-CN"/>
        </w:rPr>
        <w:t xml:space="preserve">图1.2   </w:t>
      </w:r>
      <w:r>
        <w:rPr>
          <w:rFonts w:hint="eastAsia" w:eastAsia="黑体"/>
          <w:bCs/>
          <w:sz w:val="21"/>
          <w:lang w:eastAsia="zh-CN"/>
        </w:rPr>
        <w:t>毕业生省内生源结构</w:t>
      </w:r>
    </w:p>
    <w:p>
      <w:pPr>
        <w:rPr>
          <w:snapToGrid/>
          <w:sz w:val="21"/>
          <w:lang w:eastAsia="zh-CN"/>
        </w:rPr>
      </w:pPr>
      <w:r>
        <w:rPr>
          <w:rFonts w:hint="eastAsia" w:ascii="仿宋" w:hAnsi="仿宋"/>
          <w:sz w:val="21"/>
          <w:lang w:eastAsia="zh-CN"/>
        </w:rPr>
        <w:t>数据来源：全国高校毕业生就业管理系统</w:t>
      </w:r>
    </w:p>
    <w:p>
      <w:pPr>
        <w:pStyle w:val="25"/>
        <w:rPr>
          <w:lang w:val="en-US"/>
        </w:rPr>
      </w:pPr>
    </w:p>
    <w:p>
      <w:pPr>
        <w:ind w:firstLine="640"/>
        <w:rPr>
          <w:lang w:eastAsia="zh-CN"/>
        </w:rPr>
      </w:pPr>
      <w:r>
        <w:rPr>
          <w:lang w:eastAsia="zh-CN"/>
        </w:rPr>
        <w:t>海南省内我校2022届毕业生主要来自海口市、儋州市、乐东黎族自治县，分别占毕业生总数的10.71%、9.79%、6.86%，毕业生生源最少的地区是三沙市，其生源数仅占毕业生总数的0.04%。</w:t>
      </w:r>
    </w:p>
    <w:p>
      <w:pPr>
        <w:pStyle w:val="3"/>
        <w:ind w:firstLine="643"/>
        <w:rPr>
          <w:lang w:eastAsia="zh-CN"/>
        </w:rPr>
      </w:pPr>
      <w:bookmarkStart w:id="7" w:name="_Toc151887672"/>
      <w:r>
        <w:rPr>
          <w:lang w:eastAsia="zh-CN"/>
        </w:rPr>
        <w:t>（</w:t>
      </w:r>
      <w:r>
        <w:rPr>
          <w:rFonts w:hint="eastAsia"/>
          <w:lang w:eastAsia="zh-CN"/>
        </w:rPr>
        <w:t>五</w:t>
      </w:r>
      <w:r>
        <w:rPr>
          <w:lang w:eastAsia="zh-CN"/>
        </w:rPr>
        <w:t>）毕业生专业分布情况</w:t>
      </w:r>
      <w:bookmarkEnd w:id="7"/>
    </w:p>
    <w:p>
      <w:pPr>
        <w:ind w:firstLine="640"/>
        <w:rPr>
          <w:lang w:eastAsia="zh-CN"/>
        </w:rPr>
      </w:pPr>
      <w:r>
        <w:rPr>
          <w:lang w:eastAsia="zh-CN"/>
        </w:rPr>
        <w:t>我校2022届毕业生共计4356人，共设11个院系，其中国际护理学院毕业生人数最多，达到1386人，财经学院、信息学院、城建学院、机电学院毕业生人数均在500人左右。</w:t>
      </w:r>
    </w:p>
    <w:p>
      <w:pPr>
        <w:ind w:firstLine="422"/>
        <w:jc w:val="center"/>
        <w:rPr>
          <w:rFonts w:eastAsia="黑体"/>
          <w:b/>
          <w:sz w:val="21"/>
          <w:lang w:eastAsia="zh-CN"/>
        </w:rPr>
      </w:pPr>
      <w:r>
        <w:rPr>
          <w:rFonts w:hint="eastAsia" w:eastAsia="黑体"/>
          <w:b/>
          <w:sz w:val="21"/>
          <w:lang w:eastAsia="zh-CN"/>
        </w:rPr>
        <w:t>表1.2毕业生生源结构</w:t>
      </w:r>
    </w:p>
    <w:tbl>
      <w:tblPr>
        <w:tblStyle w:val="20"/>
        <w:tblW w:w="8609" w:type="dxa"/>
        <w:tblInd w:w="557" w:type="dxa"/>
        <w:tblLayout w:type="fixed"/>
        <w:tblCellMar>
          <w:top w:w="0" w:type="dxa"/>
          <w:left w:w="108" w:type="dxa"/>
          <w:bottom w:w="0" w:type="dxa"/>
          <w:right w:w="108" w:type="dxa"/>
        </w:tblCellMar>
      </w:tblPr>
      <w:tblGrid>
        <w:gridCol w:w="1863"/>
        <w:gridCol w:w="2701"/>
        <w:gridCol w:w="1265"/>
        <w:gridCol w:w="2780"/>
      </w:tblGrid>
      <w:tr>
        <w:tblPrEx>
          <w:tblCellMar>
            <w:top w:w="0" w:type="dxa"/>
            <w:left w:w="108" w:type="dxa"/>
            <w:bottom w:w="0" w:type="dxa"/>
            <w:right w:w="108" w:type="dxa"/>
          </w:tblCellMar>
        </w:tblPrEx>
        <w:trPr>
          <w:trHeight w:val="300" w:hRule="atLeast"/>
        </w:trPr>
        <w:tc>
          <w:tcPr>
            <w:tcW w:w="1863" w:type="dxa"/>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0" w:firstLineChars="0"/>
              <w:jc w:val="center"/>
              <w:textAlignment w:val="center"/>
              <w:rPr>
                <w:rFonts w:ascii="宋体" w:hAnsi="宋体" w:eastAsia="宋体" w:cs="宋体"/>
                <w:b/>
                <w:bCs/>
                <w:sz w:val="22"/>
                <w:szCs w:val="22"/>
              </w:rPr>
            </w:pPr>
            <w:r>
              <w:rPr>
                <w:rFonts w:hint="eastAsia" w:ascii="宋体" w:hAnsi="宋体" w:eastAsia="宋体" w:cs="宋体"/>
                <w:b/>
                <w:bCs/>
                <w:sz w:val="22"/>
                <w:szCs w:val="22"/>
                <w:lang w:eastAsia="zh-CN" w:bidi="ar"/>
              </w:rPr>
              <w:t>院系</w:t>
            </w:r>
          </w:p>
        </w:tc>
        <w:tc>
          <w:tcPr>
            <w:tcW w:w="2701" w:type="dxa"/>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0" w:firstLineChars="0"/>
              <w:jc w:val="center"/>
              <w:textAlignment w:val="center"/>
              <w:rPr>
                <w:rFonts w:ascii="宋体" w:hAnsi="宋体" w:eastAsia="宋体" w:cs="宋体"/>
                <w:b/>
                <w:bCs/>
                <w:sz w:val="22"/>
                <w:szCs w:val="22"/>
              </w:rPr>
            </w:pPr>
            <w:r>
              <w:rPr>
                <w:rFonts w:hint="eastAsia" w:ascii="宋体" w:hAnsi="宋体" w:eastAsia="宋体" w:cs="宋体"/>
                <w:b/>
                <w:bCs/>
                <w:sz w:val="22"/>
                <w:szCs w:val="22"/>
                <w:lang w:eastAsia="zh-CN" w:bidi="ar"/>
              </w:rPr>
              <w:t>专业</w:t>
            </w:r>
          </w:p>
        </w:tc>
        <w:tc>
          <w:tcPr>
            <w:tcW w:w="1265" w:type="dxa"/>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0" w:firstLineChars="0"/>
              <w:jc w:val="center"/>
              <w:textAlignment w:val="center"/>
              <w:rPr>
                <w:rFonts w:ascii="宋体" w:hAnsi="宋体" w:eastAsia="宋体" w:cs="宋体"/>
                <w:b/>
                <w:bCs/>
                <w:sz w:val="22"/>
                <w:szCs w:val="22"/>
              </w:rPr>
            </w:pPr>
            <w:r>
              <w:rPr>
                <w:rFonts w:hint="eastAsia" w:ascii="宋体" w:hAnsi="宋体" w:eastAsia="宋体" w:cs="宋体"/>
                <w:b/>
                <w:bCs/>
                <w:sz w:val="22"/>
                <w:szCs w:val="22"/>
                <w:lang w:eastAsia="zh-CN" w:bidi="ar"/>
              </w:rPr>
              <w:t>人数</w:t>
            </w:r>
          </w:p>
        </w:tc>
        <w:tc>
          <w:tcPr>
            <w:tcW w:w="2780" w:type="dxa"/>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0" w:firstLineChars="0"/>
              <w:jc w:val="center"/>
              <w:textAlignment w:val="center"/>
              <w:rPr>
                <w:rFonts w:ascii="宋体" w:hAnsi="宋体" w:eastAsia="宋体" w:cs="宋体"/>
                <w:b/>
                <w:bCs/>
                <w:sz w:val="22"/>
                <w:szCs w:val="22"/>
              </w:rPr>
            </w:pPr>
            <w:r>
              <w:rPr>
                <w:rFonts w:hint="eastAsia" w:ascii="宋体" w:hAnsi="宋体" w:eastAsia="宋体" w:cs="宋体"/>
                <w:b/>
                <w:bCs/>
                <w:sz w:val="22"/>
                <w:szCs w:val="22"/>
                <w:lang w:eastAsia="zh-CN" w:bidi="ar"/>
              </w:rPr>
              <w:t>占毕业生百分比</w:t>
            </w:r>
          </w:p>
        </w:tc>
      </w:tr>
      <w:tr>
        <w:tblPrEx>
          <w:tblCellMar>
            <w:top w:w="0" w:type="dxa"/>
            <w:left w:w="108" w:type="dxa"/>
            <w:bottom w:w="0" w:type="dxa"/>
            <w:right w:w="108" w:type="dxa"/>
          </w:tblCellMar>
        </w:tblPrEx>
        <w:trPr>
          <w:trHeight w:val="280" w:hRule="atLeast"/>
        </w:trPr>
        <w:tc>
          <w:tcPr>
            <w:tcW w:w="1863" w:type="dxa"/>
            <w:vMerge w:val="restart"/>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0" w:firstLineChars="0"/>
              <w:jc w:val="both"/>
              <w:textAlignment w:val="center"/>
              <w:rPr>
                <w:rFonts w:ascii="宋体" w:hAnsi="宋体" w:eastAsia="宋体" w:cs="宋体"/>
                <w:sz w:val="22"/>
                <w:szCs w:val="22"/>
              </w:rPr>
            </w:pPr>
            <w:r>
              <w:rPr>
                <w:rFonts w:hint="eastAsia" w:ascii="宋体" w:hAnsi="宋体" w:eastAsia="宋体" w:cs="宋体"/>
                <w:sz w:val="22"/>
                <w:szCs w:val="22"/>
                <w:lang w:eastAsia="zh-CN" w:bidi="ar"/>
              </w:rPr>
              <w:t>国际护理学院</w:t>
            </w:r>
          </w:p>
        </w:tc>
        <w:tc>
          <w:tcPr>
            <w:tcW w:w="2701"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护理</w:t>
            </w:r>
          </w:p>
        </w:tc>
        <w:tc>
          <w:tcPr>
            <w:tcW w:w="1265"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1222</w:t>
            </w:r>
          </w:p>
        </w:tc>
        <w:tc>
          <w:tcPr>
            <w:tcW w:w="27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28.05%</w:t>
            </w:r>
          </w:p>
        </w:tc>
      </w:tr>
      <w:tr>
        <w:tblPrEx>
          <w:tblCellMar>
            <w:top w:w="0" w:type="dxa"/>
            <w:left w:w="108" w:type="dxa"/>
            <w:bottom w:w="0" w:type="dxa"/>
            <w:right w:w="108" w:type="dxa"/>
          </w:tblCellMar>
        </w:tblPrEx>
        <w:trPr>
          <w:trHeight w:val="280" w:hRule="atLeast"/>
        </w:trPr>
        <w:tc>
          <w:tcPr>
            <w:tcW w:w="186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440"/>
              <w:jc w:val="center"/>
              <w:rPr>
                <w:rFonts w:ascii="宋体" w:hAnsi="宋体" w:eastAsia="宋体" w:cs="宋体"/>
                <w:sz w:val="22"/>
                <w:szCs w:val="22"/>
              </w:rPr>
            </w:pPr>
          </w:p>
        </w:tc>
        <w:tc>
          <w:tcPr>
            <w:tcW w:w="2701"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助产</w:t>
            </w:r>
          </w:p>
        </w:tc>
        <w:tc>
          <w:tcPr>
            <w:tcW w:w="1265"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164</w:t>
            </w:r>
          </w:p>
        </w:tc>
        <w:tc>
          <w:tcPr>
            <w:tcW w:w="2780"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3.76%</w:t>
            </w:r>
          </w:p>
        </w:tc>
      </w:tr>
      <w:tr>
        <w:tblPrEx>
          <w:tblCellMar>
            <w:top w:w="0" w:type="dxa"/>
            <w:left w:w="108" w:type="dxa"/>
            <w:bottom w:w="0" w:type="dxa"/>
            <w:right w:w="108" w:type="dxa"/>
          </w:tblCellMar>
        </w:tblPrEx>
        <w:trPr>
          <w:trHeight w:val="280" w:hRule="atLeast"/>
        </w:trPr>
        <w:tc>
          <w:tcPr>
            <w:tcW w:w="186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440"/>
              <w:jc w:val="center"/>
              <w:rPr>
                <w:rFonts w:ascii="宋体" w:hAnsi="宋体" w:eastAsia="宋体" w:cs="宋体"/>
                <w:sz w:val="22"/>
                <w:szCs w:val="22"/>
              </w:rPr>
            </w:pPr>
          </w:p>
        </w:tc>
        <w:tc>
          <w:tcPr>
            <w:tcW w:w="2701"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2"/>
              <w:jc w:val="center"/>
              <w:textAlignment w:val="center"/>
              <w:rPr>
                <w:rFonts w:ascii="宋体" w:hAnsi="宋体" w:eastAsia="宋体" w:cs="宋体"/>
                <w:b/>
                <w:bCs/>
                <w:sz w:val="22"/>
                <w:szCs w:val="22"/>
              </w:rPr>
            </w:pPr>
            <w:r>
              <w:rPr>
                <w:rFonts w:hint="eastAsia" w:ascii="宋体" w:hAnsi="宋体" w:eastAsia="宋体" w:cs="宋体"/>
                <w:b/>
                <w:bCs/>
                <w:sz w:val="22"/>
                <w:szCs w:val="22"/>
                <w:lang w:eastAsia="zh-CN" w:bidi="ar"/>
              </w:rPr>
              <w:t>合计</w:t>
            </w:r>
          </w:p>
        </w:tc>
        <w:tc>
          <w:tcPr>
            <w:tcW w:w="1265"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1386</w:t>
            </w:r>
          </w:p>
        </w:tc>
        <w:tc>
          <w:tcPr>
            <w:tcW w:w="27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31.82%</w:t>
            </w:r>
          </w:p>
        </w:tc>
      </w:tr>
      <w:tr>
        <w:tblPrEx>
          <w:tblCellMar>
            <w:top w:w="0" w:type="dxa"/>
            <w:left w:w="108" w:type="dxa"/>
            <w:bottom w:w="0" w:type="dxa"/>
            <w:right w:w="108" w:type="dxa"/>
          </w:tblCellMar>
        </w:tblPrEx>
        <w:trPr>
          <w:trHeight w:val="280" w:hRule="atLeast"/>
        </w:trPr>
        <w:tc>
          <w:tcPr>
            <w:tcW w:w="1863" w:type="dxa"/>
            <w:vMerge w:val="restart"/>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0" w:firstLineChars="0"/>
              <w:jc w:val="both"/>
              <w:textAlignment w:val="center"/>
              <w:rPr>
                <w:rFonts w:ascii="宋体" w:hAnsi="宋体" w:eastAsia="宋体" w:cs="宋体"/>
                <w:sz w:val="22"/>
                <w:szCs w:val="22"/>
              </w:rPr>
            </w:pPr>
            <w:r>
              <w:rPr>
                <w:rFonts w:hint="eastAsia" w:ascii="宋体" w:hAnsi="宋体" w:eastAsia="宋体" w:cs="宋体"/>
                <w:sz w:val="22"/>
                <w:szCs w:val="22"/>
                <w:lang w:eastAsia="zh-CN" w:bidi="ar"/>
              </w:rPr>
              <w:t>财经学院</w:t>
            </w:r>
          </w:p>
        </w:tc>
        <w:tc>
          <w:tcPr>
            <w:tcW w:w="2701"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会计</w:t>
            </w:r>
          </w:p>
        </w:tc>
        <w:tc>
          <w:tcPr>
            <w:tcW w:w="1265"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212</w:t>
            </w:r>
          </w:p>
        </w:tc>
        <w:tc>
          <w:tcPr>
            <w:tcW w:w="2780"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4.87%</w:t>
            </w:r>
          </w:p>
        </w:tc>
      </w:tr>
      <w:tr>
        <w:tblPrEx>
          <w:tblCellMar>
            <w:top w:w="0" w:type="dxa"/>
            <w:left w:w="108" w:type="dxa"/>
            <w:bottom w:w="0" w:type="dxa"/>
            <w:right w:w="108" w:type="dxa"/>
          </w:tblCellMar>
        </w:tblPrEx>
        <w:trPr>
          <w:trHeight w:val="280" w:hRule="atLeast"/>
        </w:trPr>
        <w:tc>
          <w:tcPr>
            <w:tcW w:w="186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440"/>
              <w:jc w:val="center"/>
              <w:rPr>
                <w:rFonts w:ascii="宋体" w:hAnsi="宋体" w:eastAsia="宋体" w:cs="宋体"/>
                <w:sz w:val="22"/>
                <w:szCs w:val="22"/>
              </w:rPr>
            </w:pPr>
          </w:p>
        </w:tc>
        <w:tc>
          <w:tcPr>
            <w:tcW w:w="2701"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工商企业管理</w:t>
            </w:r>
          </w:p>
        </w:tc>
        <w:tc>
          <w:tcPr>
            <w:tcW w:w="1265"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81</w:t>
            </w:r>
          </w:p>
        </w:tc>
        <w:tc>
          <w:tcPr>
            <w:tcW w:w="27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1.86%</w:t>
            </w:r>
          </w:p>
        </w:tc>
      </w:tr>
      <w:tr>
        <w:tblPrEx>
          <w:tblCellMar>
            <w:top w:w="0" w:type="dxa"/>
            <w:left w:w="108" w:type="dxa"/>
            <w:bottom w:w="0" w:type="dxa"/>
            <w:right w:w="108" w:type="dxa"/>
          </w:tblCellMar>
        </w:tblPrEx>
        <w:trPr>
          <w:trHeight w:val="280" w:hRule="atLeast"/>
        </w:trPr>
        <w:tc>
          <w:tcPr>
            <w:tcW w:w="186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440"/>
              <w:jc w:val="center"/>
              <w:rPr>
                <w:rFonts w:ascii="宋体" w:hAnsi="宋体" w:eastAsia="宋体" w:cs="宋体"/>
                <w:sz w:val="22"/>
                <w:szCs w:val="22"/>
              </w:rPr>
            </w:pPr>
          </w:p>
        </w:tc>
        <w:tc>
          <w:tcPr>
            <w:tcW w:w="2701"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物流管理</w:t>
            </w:r>
          </w:p>
        </w:tc>
        <w:tc>
          <w:tcPr>
            <w:tcW w:w="1265"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71</w:t>
            </w:r>
          </w:p>
        </w:tc>
        <w:tc>
          <w:tcPr>
            <w:tcW w:w="2780"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1.63%</w:t>
            </w:r>
          </w:p>
        </w:tc>
      </w:tr>
      <w:tr>
        <w:tblPrEx>
          <w:tblCellMar>
            <w:top w:w="0" w:type="dxa"/>
            <w:left w:w="108" w:type="dxa"/>
            <w:bottom w:w="0" w:type="dxa"/>
            <w:right w:w="108" w:type="dxa"/>
          </w:tblCellMar>
        </w:tblPrEx>
        <w:trPr>
          <w:trHeight w:val="280" w:hRule="atLeast"/>
        </w:trPr>
        <w:tc>
          <w:tcPr>
            <w:tcW w:w="186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440"/>
              <w:jc w:val="center"/>
              <w:rPr>
                <w:rFonts w:ascii="宋体" w:hAnsi="宋体" w:eastAsia="宋体" w:cs="宋体"/>
                <w:sz w:val="22"/>
                <w:szCs w:val="22"/>
              </w:rPr>
            </w:pPr>
          </w:p>
        </w:tc>
        <w:tc>
          <w:tcPr>
            <w:tcW w:w="2701"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金融管理</w:t>
            </w:r>
          </w:p>
        </w:tc>
        <w:tc>
          <w:tcPr>
            <w:tcW w:w="1265"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48</w:t>
            </w:r>
          </w:p>
        </w:tc>
        <w:tc>
          <w:tcPr>
            <w:tcW w:w="27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1.10%</w:t>
            </w:r>
          </w:p>
        </w:tc>
      </w:tr>
      <w:tr>
        <w:tblPrEx>
          <w:tblCellMar>
            <w:top w:w="0" w:type="dxa"/>
            <w:left w:w="108" w:type="dxa"/>
            <w:bottom w:w="0" w:type="dxa"/>
            <w:right w:w="108" w:type="dxa"/>
          </w:tblCellMar>
        </w:tblPrEx>
        <w:trPr>
          <w:trHeight w:val="280" w:hRule="atLeast"/>
        </w:trPr>
        <w:tc>
          <w:tcPr>
            <w:tcW w:w="186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440"/>
              <w:jc w:val="center"/>
              <w:rPr>
                <w:rFonts w:ascii="宋体" w:hAnsi="宋体" w:eastAsia="宋体" w:cs="宋体"/>
                <w:sz w:val="22"/>
                <w:szCs w:val="22"/>
              </w:rPr>
            </w:pPr>
          </w:p>
        </w:tc>
        <w:tc>
          <w:tcPr>
            <w:tcW w:w="2701"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旅游管理</w:t>
            </w:r>
          </w:p>
        </w:tc>
        <w:tc>
          <w:tcPr>
            <w:tcW w:w="1265"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44</w:t>
            </w:r>
          </w:p>
        </w:tc>
        <w:tc>
          <w:tcPr>
            <w:tcW w:w="2780"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1.01%</w:t>
            </w:r>
          </w:p>
        </w:tc>
      </w:tr>
      <w:tr>
        <w:tblPrEx>
          <w:tblCellMar>
            <w:top w:w="0" w:type="dxa"/>
            <w:left w:w="108" w:type="dxa"/>
            <w:bottom w:w="0" w:type="dxa"/>
            <w:right w:w="108" w:type="dxa"/>
          </w:tblCellMar>
        </w:tblPrEx>
        <w:trPr>
          <w:trHeight w:val="280" w:hRule="atLeast"/>
        </w:trPr>
        <w:tc>
          <w:tcPr>
            <w:tcW w:w="186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440"/>
              <w:jc w:val="center"/>
              <w:rPr>
                <w:rFonts w:ascii="宋体" w:hAnsi="宋体" w:eastAsia="宋体" w:cs="宋体"/>
                <w:sz w:val="22"/>
                <w:szCs w:val="22"/>
              </w:rPr>
            </w:pPr>
          </w:p>
        </w:tc>
        <w:tc>
          <w:tcPr>
            <w:tcW w:w="2701"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市场营销</w:t>
            </w:r>
          </w:p>
        </w:tc>
        <w:tc>
          <w:tcPr>
            <w:tcW w:w="1265"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40</w:t>
            </w:r>
          </w:p>
        </w:tc>
        <w:tc>
          <w:tcPr>
            <w:tcW w:w="27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0.92%</w:t>
            </w:r>
          </w:p>
        </w:tc>
      </w:tr>
      <w:tr>
        <w:tblPrEx>
          <w:tblCellMar>
            <w:top w:w="0" w:type="dxa"/>
            <w:left w:w="108" w:type="dxa"/>
            <w:bottom w:w="0" w:type="dxa"/>
            <w:right w:w="108" w:type="dxa"/>
          </w:tblCellMar>
        </w:tblPrEx>
        <w:trPr>
          <w:trHeight w:val="280" w:hRule="atLeast"/>
        </w:trPr>
        <w:tc>
          <w:tcPr>
            <w:tcW w:w="186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440"/>
              <w:jc w:val="center"/>
              <w:rPr>
                <w:rFonts w:ascii="宋体" w:hAnsi="宋体" w:eastAsia="宋体" w:cs="宋体"/>
                <w:sz w:val="22"/>
                <w:szCs w:val="22"/>
              </w:rPr>
            </w:pPr>
          </w:p>
        </w:tc>
        <w:tc>
          <w:tcPr>
            <w:tcW w:w="2701"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烹调工艺与营养</w:t>
            </w:r>
          </w:p>
        </w:tc>
        <w:tc>
          <w:tcPr>
            <w:tcW w:w="1265"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39</w:t>
            </w:r>
          </w:p>
        </w:tc>
        <w:tc>
          <w:tcPr>
            <w:tcW w:w="2780"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0.90%</w:t>
            </w:r>
          </w:p>
        </w:tc>
      </w:tr>
      <w:tr>
        <w:tblPrEx>
          <w:tblCellMar>
            <w:top w:w="0" w:type="dxa"/>
            <w:left w:w="108" w:type="dxa"/>
            <w:bottom w:w="0" w:type="dxa"/>
            <w:right w:w="108" w:type="dxa"/>
          </w:tblCellMar>
        </w:tblPrEx>
        <w:trPr>
          <w:trHeight w:val="280" w:hRule="atLeast"/>
        </w:trPr>
        <w:tc>
          <w:tcPr>
            <w:tcW w:w="186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440"/>
              <w:jc w:val="center"/>
              <w:rPr>
                <w:rFonts w:ascii="宋体" w:hAnsi="宋体" w:eastAsia="宋体" w:cs="宋体"/>
                <w:sz w:val="22"/>
                <w:szCs w:val="22"/>
              </w:rPr>
            </w:pPr>
          </w:p>
        </w:tc>
        <w:tc>
          <w:tcPr>
            <w:tcW w:w="2701"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酒店管理</w:t>
            </w:r>
          </w:p>
        </w:tc>
        <w:tc>
          <w:tcPr>
            <w:tcW w:w="1265"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37</w:t>
            </w:r>
          </w:p>
        </w:tc>
        <w:tc>
          <w:tcPr>
            <w:tcW w:w="27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0.85%</w:t>
            </w:r>
          </w:p>
        </w:tc>
      </w:tr>
      <w:tr>
        <w:tblPrEx>
          <w:tblCellMar>
            <w:top w:w="0" w:type="dxa"/>
            <w:left w:w="108" w:type="dxa"/>
            <w:bottom w:w="0" w:type="dxa"/>
            <w:right w:w="108" w:type="dxa"/>
          </w:tblCellMar>
        </w:tblPrEx>
        <w:trPr>
          <w:trHeight w:val="280" w:hRule="atLeast"/>
        </w:trPr>
        <w:tc>
          <w:tcPr>
            <w:tcW w:w="186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440"/>
              <w:jc w:val="center"/>
              <w:rPr>
                <w:rFonts w:ascii="宋体" w:hAnsi="宋体" w:eastAsia="宋体" w:cs="宋体"/>
                <w:sz w:val="22"/>
                <w:szCs w:val="22"/>
              </w:rPr>
            </w:pPr>
          </w:p>
        </w:tc>
        <w:tc>
          <w:tcPr>
            <w:tcW w:w="2701"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2"/>
              <w:jc w:val="center"/>
              <w:textAlignment w:val="center"/>
              <w:rPr>
                <w:rFonts w:ascii="宋体" w:hAnsi="宋体" w:eastAsia="宋体" w:cs="宋体"/>
                <w:b/>
                <w:bCs/>
                <w:sz w:val="22"/>
                <w:szCs w:val="22"/>
              </w:rPr>
            </w:pPr>
            <w:r>
              <w:rPr>
                <w:rFonts w:hint="eastAsia" w:ascii="宋体" w:hAnsi="宋体" w:eastAsia="宋体" w:cs="宋体"/>
                <w:b/>
                <w:bCs/>
                <w:sz w:val="22"/>
                <w:szCs w:val="22"/>
                <w:lang w:eastAsia="zh-CN" w:bidi="ar"/>
              </w:rPr>
              <w:t>合计</w:t>
            </w:r>
          </w:p>
        </w:tc>
        <w:tc>
          <w:tcPr>
            <w:tcW w:w="1265"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572</w:t>
            </w:r>
          </w:p>
        </w:tc>
        <w:tc>
          <w:tcPr>
            <w:tcW w:w="2780"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13.13%</w:t>
            </w:r>
          </w:p>
        </w:tc>
      </w:tr>
      <w:tr>
        <w:tblPrEx>
          <w:tblCellMar>
            <w:top w:w="0" w:type="dxa"/>
            <w:left w:w="108" w:type="dxa"/>
            <w:bottom w:w="0" w:type="dxa"/>
            <w:right w:w="108" w:type="dxa"/>
          </w:tblCellMar>
        </w:tblPrEx>
        <w:trPr>
          <w:trHeight w:val="280" w:hRule="atLeast"/>
        </w:trPr>
        <w:tc>
          <w:tcPr>
            <w:tcW w:w="1863" w:type="dxa"/>
            <w:vMerge w:val="restart"/>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0" w:firstLineChars="0"/>
              <w:jc w:val="both"/>
              <w:textAlignment w:val="center"/>
              <w:rPr>
                <w:rFonts w:ascii="宋体" w:hAnsi="宋体" w:eastAsia="宋体" w:cs="宋体"/>
                <w:sz w:val="22"/>
                <w:szCs w:val="22"/>
              </w:rPr>
            </w:pPr>
            <w:r>
              <w:rPr>
                <w:rFonts w:hint="eastAsia" w:ascii="宋体" w:hAnsi="宋体" w:eastAsia="宋体" w:cs="宋体"/>
                <w:sz w:val="22"/>
                <w:szCs w:val="22"/>
                <w:lang w:eastAsia="zh-CN" w:bidi="ar"/>
              </w:rPr>
              <w:t>信息工程学院</w:t>
            </w:r>
          </w:p>
        </w:tc>
        <w:tc>
          <w:tcPr>
            <w:tcW w:w="2701"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计算机网络技术</w:t>
            </w:r>
          </w:p>
        </w:tc>
        <w:tc>
          <w:tcPr>
            <w:tcW w:w="1265"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188</w:t>
            </w:r>
          </w:p>
        </w:tc>
        <w:tc>
          <w:tcPr>
            <w:tcW w:w="27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4.32%</w:t>
            </w:r>
          </w:p>
        </w:tc>
      </w:tr>
      <w:tr>
        <w:tblPrEx>
          <w:tblCellMar>
            <w:top w:w="0" w:type="dxa"/>
            <w:left w:w="108" w:type="dxa"/>
            <w:bottom w:w="0" w:type="dxa"/>
            <w:right w:w="108" w:type="dxa"/>
          </w:tblCellMar>
        </w:tblPrEx>
        <w:trPr>
          <w:trHeight w:val="280" w:hRule="atLeast"/>
        </w:trPr>
        <w:tc>
          <w:tcPr>
            <w:tcW w:w="186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440"/>
              <w:jc w:val="center"/>
              <w:rPr>
                <w:rFonts w:ascii="宋体" w:hAnsi="宋体" w:eastAsia="宋体" w:cs="宋体"/>
                <w:sz w:val="22"/>
                <w:szCs w:val="22"/>
              </w:rPr>
            </w:pPr>
          </w:p>
        </w:tc>
        <w:tc>
          <w:tcPr>
            <w:tcW w:w="2701"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软件技术</w:t>
            </w:r>
          </w:p>
        </w:tc>
        <w:tc>
          <w:tcPr>
            <w:tcW w:w="1265"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129</w:t>
            </w:r>
          </w:p>
        </w:tc>
        <w:tc>
          <w:tcPr>
            <w:tcW w:w="2780"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2.96%</w:t>
            </w:r>
          </w:p>
        </w:tc>
      </w:tr>
      <w:tr>
        <w:tblPrEx>
          <w:tblCellMar>
            <w:top w:w="0" w:type="dxa"/>
            <w:left w:w="108" w:type="dxa"/>
            <w:bottom w:w="0" w:type="dxa"/>
            <w:right w:w="108" w:type="dxa"/>
          </w:tblCellMar>
        </w:tblPrEx>
        <w:trPr>
          <w:trHeight w:val="280" w:hRule="atLeast"/>
        </w:trPr>
        <w:tc>
          <w:tcPr>
            <w:tcW w:w="186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440"/>
              <w:jc w:val="center"/>
              <w:rPr>
                <w:rFonts w:ascii="宋体" w:hAnsi="宋体" w:eastAsia="宋体" w:cs="宋体"/>
                <w:sz w:val="22"/>
                <w:szCs w:val="22"/>
              </w:rPr>
            </w:pPr>
          </w:p>
        </w:tc>
        <w:tc>
          <w:tcPr>
            <w:tcW w:w="2701"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大数据技术与应用</w:t>
            </w:r>
          </w:p>
        </w:tc>
        <w:tc>
          <w:tcPr>
            <w:tcW w:w="1265"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102</w:t>
            </w:r>
          </w:p>
        </w:tc>
        <w:tc>
          <w:tcPr>
            <w:tcW w:w="27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2.34%</w:t>
            </w:r>
          </w:p>
        </w:tc>
      </w:tr>
      <w:tr>
        <w:tblPrEx>
          <w:tblCellMar>
            <w:top w:w="0" w:type="dxa"/>
            <w:left w:w="108" w:type="dxa"/>
            <w:bottom w:w="0" w:type="dxa"/>
            <w:right w:w="108" w:type="dxa"/>
          </w:tblCellMar>
        </w:tblPrEx>
        <w:trPr>
          <w:trHeight w:val="280" w:hRule="atLeast"/>
        </w:trPr>
        <w:tc>
          <w:tcPr>
            <w:tcW w:w="186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440"/>
              <w:jc w:val="center"/>
              <w:rPr>
                <w:rFonts w:ascii="宋体" w:hAnsi="宋体" w:eastAsia="宋体" w:cs="宋体"/>
                <w:sz w:val="22"/>
                <w:szCs w:val="22"/>
              </w:rPr>
            </w:pPr>
          </w:p>
        </w:tc>
        <w:tc>
          <w:tcPr>
            <w:tcW w:w="2701"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电子商务</w:t>
            </w:r>
          </w:p>
        </w:tc>
        <w:tc>
          <w:tcPr>
            <w:tcW w:w="1265"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42</w:t>
            </w:r>
          </w:p>
        </w:tc>
        <w:tc>
          <w:tcPr>
            <w:tcW w:w="2780"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0.96%</w:t>
            </w:r>
          </w:p>
        </w:tc>
      </w:tr>
      <w:tr>
        <w:tblPrEx>
          <w:tblCellMar>
            <w:top w:w="0" w:type="dxa"/>
            <w:left w:w="108" w:type="dxa"/>
            <w:bottom w:w="0" w:type="dxa"/>
            <w:right w:w="108" w:type="dxa"/>
          </w:tblCellMar>
        </w:tblPrEx>
        <w:trPr>
          <w:trHeight w:val="280" w:hRule="atLeast"/>
        </w:trPr>
        <w:tc>
          <w:tcPr>
            <w:tcW w:w="186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440"/>
              <w:jc w:val="center"/>
              <w:rPr>
                <w:rFonts w:ascii="宋体" w:hAnsi="宋体" w:eastAsia="宋体" w:cs="宋体"/>
                <w:sz w:val="22"/>
                <w:szCs w:val="22"/>
              </w:rPr>
            </w:pPr>
          </w:p>
        </w:tc>
        <w:tc>
          <w:tcPr>
            <w:tcW w:w="2701"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物联网工程</w:t>
            </w:r>
          </w:p>
        </w:tc>
        <w:tc>
          <w:tcPr>
            <w:tcW w:w="1265"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37</w:t>
            </w:r>
          </w:p>
        </w:tc>
        <w:tc>
          <w:tcPr>
            <w:tcW w:w="27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0.85%</w:t>
            </w:r>
          </w:p>
        </w:tc>
      </w:tr>
      <w:tr>
        <w:tblPrEx>
          <w:tblCellMar>
            <w:top w:w="0" w:type="dxa"/>
            <w:left w:w="108" w:type="dxa"/>
            <w:bottom w:w="0" w:type="dxa"/>
            <w:right w:w="108" w:type="dxa"/>
          </w:tblCellMar>
        </w:tblPrEx>
        <w:trPr>
          <w:trHeight w:val="280" w:hRule="atLeast"/>
        </w:trPr>
        <w:tc>
          <w:tcPr>
            <w:tcW w:w="186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440"/>
              <w:jc w:val="center"/>
              <w:rPr>
                <w:rFonts w:ascii="宋体" w:hAnsi="宋体" w:eastAsia="宋体" w:cs="宋体"/>
                <w:sz w:val="22"/>
                <w:szCs w:val="22"/>
              </w:rPr>
            </w:pPr>
          </w:p>
        </w:tc>
        <w:tc>
          <w:tcPr>
            <w:tcW w:w="2701"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移动通信技术</w:t>
            </w:r>
          </w:p>
        </w:tc>
        <w:tc>
          <w:tcPr>
            <w:tcW w:w="1265"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w:t>
            </w:r>
          </w:p>
        </w:tc>
        <w:tc>
          <w:tcPr>
            <w:tcW w:w="2780"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0.02%</w:t>
            </w:r>
          </w:p>
        </w:tc>
      </w:tr>
      <w:tr>
        <w:tblPrEx>
          <w:tblCellMar>
            <w:top w:w="0" w:type="dxa"/>
            <w:left w:w="108" w:type="dxa"/>
            <w:bottom w:w="0" w:type="dxa"/>
            <w:right w:w="108" w:type="dxa"/>
          </w:tblCellMar>
        </w:tblPrEx>
        <w:trPr>
          <w:trHeight w:val="280" w:hRule="atLeast"/>
        </w:trPr>
        <w:tc>
          <w:tcPr>
            <w:tcW w:w="186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440"/>
              <w:jc w:val="center"/>
              <w:rPr>
                <w:rFonts w:ascii="宋体" w:hAnsi="宋体" w:eastAsia="宋体" w:cs="宋体"/>
                <w:sz w:val="22"/>
                <w:szCs w:val="22"/>
              </w:rPr>
            </w:pPr>
          </w:p>
        </w:tc>
        <w:tc>
          <w:tcPr>
            <w:tcW w:w="2701"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2"/>
              <w:jc w:val="center"/>
              <w:textAlignment w:val="center"/>
              <w:rPr>
                <w:rFonts w:ascii="宋体" w:hAnsi="宋体" w:eastAsia="宋体" w:cs="宋体"/>
                <w:b/>
                <w:bCs/>
                <w:sz w:val="22"/>
                <w:szCs w:val="22"/>
              </w:rPr>
            </w:pPr>
            <w:r>
              <w:rPr>
                <w:rFonts w:hint="eastAsia" w:ascii="宋体" w:hAnsi="宋体" w:eastAsia="宋体" w:cs="宋体"/>
                <w:b/>
                <w:bCs/>
                <w:sz w:val="22"/>
                <w:szCs w:val="22"/>
                <w:lang w:eastAsia="zh-CN" w:bidi="ar"/>
              </w:rPr>
              <w:t>合计</w:t>
            </w:r>
          </w:p>
        </w:tc>
        <w:tc>
          <w:tcPr>
            <w:tcW w:w="1265"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499</w:t>
            </w:r>
          </w:p>
        </w:tc>
        <w:tc>
          <w:tcPr>
            <w:tcW w:w="27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11.46%</w:t>
            </w:r>
          </w:p>
        </w:tc>
      </w:tr>
      <w:tr>
        <w:tblPrEx>
          <w:tblCellMar>
            <w:top w:w="0" w:type="dxa"/>
            <w:left w:w="108" w:type="dxa"/>
            <w:bottom w:w="0" w:type="dxa"/>
            <w:right w:w="108" w:type="dxa"/>
          </w:tblCellMar>
        </w:tblPrEx>
        <w:trPr>
          <w:trHeight w:val="280" w:hRule="atLeast"/>
        </w:trPr>
        <w:tc>
          <w:tcPr>
            <w:tcW w:w="1863" w:type="dxa"/>
            <w:vMerge w:val="restart"/>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0" w:firstLineChars="0"/>
              <w:jc w:val="both"/>
              <w:textAlignment w:val="center"/>
              <w:rPr>
                <w:rFonts w:ascii="宋体" w:hAnsi="宋体" w:eastAsia="宋体" w:cs="宋体"/>
                <w:sz w:val="22"/>
                <w:szCs w:val="22"/>
              </w:rPr>
            </w:pPr>
            <w:r>
              <w:rPr>
                <w:rFonts w:hint="eastAsia" w:ascii="宋体" w:hAnsi="宋体" w:eastAsia="宋体" w:cs="宋体"/>
                <w:sz w:val="22"/>
                <w:szCs w:val="22"/>
                <w:lang w:eastAsia="zh-CN" w:bidi="ar"/>
              </w:rPr>
              <w:t>城建学院</w:t>
            </w:r>
          </w:p>
        </w:tc>
        <w:tc>
          <w:tcPr>
            <w:tcW w:w="2701"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工程造价</w:t>
            </w:r>
          </w:p>
        </w:tc>
        <w:tc>
          <w:tcPr>
            <w:tcW w:w="1265"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174</w:t>
            </w:r>
          </w:p>
        </w:tc>
        <w:tc>
          <w:tcPr>
            <w:tcW w:w="2780"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3.99%</w:t>
            </w:r>
          </w:p>
        </w:tc>
      </w:tr>
      <w:tr>
        <w:tblPrEx>
          <w:tblCellMar>
            <w:top w:w="0" w:type="dxa"/>
            <w:left w:w="108" w:type="dxa"/>
            <w:bottom w:w="0" w:type="dxa"/>
            <w:right w:w="108" w:type="dxa"/>
          </w:tblCellMar>
        </w:tblPrEx>
        <w:trPr>
          <w:trHeight w:val="280" w:hRule="atLeast"/>
        </w:trPr>
        <w:tc>
          <w:tcPr>
            <w:tcW w:w="186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440"/>
              <w:jc w:val="center"/>
              <w:rPr>
                <w:rFonts w:ascii="宋体" w:hAnsi="宋体" w:eastAsia="宋体" w:cs="宋体"/>
                <w:sz w:val="22"/>
                <w:szCs w:val="22"/>
              </w:rPr>
            </w:pPr>
          </w:p>
        </w:tc>
        <w:tc>
          <w:tcPr>
            <w:tcW w:w="2701"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建筑工程技术</w:t>
            </w:r>
          </w:p>
        </w:tc>
        <w:tc>
          <w:tcPr>
            <w:tcW w:w="1265"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139</w:t>
            </w:r>
          </w:p>
        </w:tc>
        <w:tc>
          <w:tcPr>
            <w:tcW w:w="27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3.19%</w:t>
            </w:r>
          </w:p>
        </w:tc>
      </w:tr>
      <w:tr>
        <w:tblPrEx>
          <w:tblCellMar>
            <w:top w:w="0" w:type="dxa"/>
            <w:left w:w="108" w:type="dxa"/>
            <w:bottom w:w="0" w:type="dxa"/>
            <w:right w:w="108" w:type="dxa"/>
          </w:tblCellMar>
        </w:tblPrEx>
        <w:trPr>
          <w:trHeight w:val="280" w:hRule="atLeast"/>
        </w:trPr>
        <w:tc>
          <w:tcPr>
            <w:tcW w:w="186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440"/>
              <w:jc w:val="center"/>
              <w:rPr>
                <w:rFonts w:ascii="宋体" w:hAnsi="宋体" w:eastAsia="宋体" w:cs="宋体"/>
                <w:sz w:val="22"/>
                <w:szCs w:val="22"/>
              </w:rPr>
            </w:pPr>
          </w:p>
        </w:tc>
        <w:tc>
          <w:tcPr>
            <w:tcW w:w="2701"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建筑设计</w:t>
            </w:r>
          </w:p>
        </w:tc>
        <w:tc>
          <w:tcPr>
            <w:tcW w:w="1265"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87</w:t>
            </w:r>
          </w:p>
        </w:tc>
        <w:tc>
          <w:tcPr>
            <w:tcW w:w="2780"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2.00%</w:t>
            </w:r>
          </w:p>
        </w:tc>
      </w:tr>
      <w:tr>
        <w:tblPrEx>
          <w:tblCellMar>
            <w:top w:w="0" w:type="dxa"/>
            <w:left w:w="108" w:type="dxa"/>
            <w:bottom w:w="0" w:type="dxa"/>
            <w:right w:w="108" w:type="dxa"/>
          </w:tblCellMar>
        </w:tblPrEx>
        <w:trPr>
          <w:trHeight w:val="280" w:hRule="atLeast"/>
        </w:trPr>
        <w:tc>
          <w:tcPr>
            <w:tcW w:w="186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440"/>
              <w:jc w:val="center"/>
              <w:rPr>
                <w:rFonts w:ascii="宋体" w:hAnsi="宋体" w:eastAsia="宋体" w:cs="宋体"/>
                <w:sz w:val="22"/>
                <w:szCs w:val="22"/>
              </w:rPr>
            </w:pPr>
          </w:p>
        </w:tc>
        <w:tc>
          <w:tcPr>
            <w:tcW w:w="2701"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建筑装饰工程技术</w:t>
            </w:r>
          </w:p>
        </w:tc>
        <w:tc>
          <w:tcPr>
            <w:tcW w:w="1265"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47</w:t>
            </w:r>
          </w:p>
        </w:tc>
        <w:tc>
          <w:tcPr>
            <w:tcW w:w="27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1.08%</w:t>
            </w:r>
          </w:p>
        </w:tc>
      </w:tr>
      <w:tr>
        <w:tblPrEx>
          <w:tblCellMar>
            <w:top w:w="0" w:type="dxa"/>
            <w:left w:w="108" w:type="dxa"/>
            <w:bottom w:w="0" w:type="dxa"/>
            <w:right w:w="108" w:type="dxa"/>
          </w:tblCellMar>
        </w:tblPrEx>
        <w:trPr>
          <w:trHeight w:val="280" w:hRule="atLeast"/>
        </w:trPr>
        <w:tc>
          <w:tcPr>
            <w:tcW w:w="186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440"/>
              <w:jc w:val="center"/>
              <w:rPr>
                <w:rFonts w:ascii="宋体" w:hAnsi="宋体" w:eastAsia="宋体" w:cs="宋体"/>
                <w:sz w:val="22"/>
                <w:szCs w:val="22"/>
              </w:rPr>
            </w:pPr>
          </w:p>
        </w:tc>
        <w:tc>
          <w:tcPr>
            <w:tcW w:w="2701"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土木工程</w:t>
            </w:r>
          </w:p>
        </w:tc>
        <w:tc>
          <w:tcPr>
            <w:tcW w:w="1265"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39</w:t>
            </w:r>
          </w:p>
        </w:tc>
        <w:tc>
          <w:tcPr>
            <w:tcW w:w="2780"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0.90%</w:t>
            </w:r>
          </w:p>
        </w:tc>
      </w:tr>
      <w:tr>
        <w:tblPrEx>
          <w:tblCellMar>
            <w:top w:w="0" w:type="dxa"/>
            <w:left w:w="108" w:type="dxa"/>
            <w:bottom w:w="0" w:type="dxa"/>
            <w:right w:w="108" w:type="dxa"/>
          </w:tblCellMar>
        </w:tblPrEx>
        <w:trPr>
          <w:trHeight w:val="280" w:hRule="atLeast"/>
        </w:trPr>
        <w:tc>
          <w:tcPr>
            <w:tcW w:w="186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440"/>
              <w:jc w:val="center"/>
              <w:rPr>
                <w:rFonts w:ascii="宋体" w:hAnsi="宋体" w:eastAsia="宋体" w:cs="宋体"/>
                <w:sz w:val="22"/>
                <w:szCs w:val="22"/>
              </w:rPr>
            </w:pPr>
          </w:p>
        </w:tc>
        <w:tc>
          <w:tcPr>
            <w:tcW w:w="2701"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2"/>
              <w:jc w:val="center"/>
              <w:textAlignment w:val="center"/>
              <w:rPr>
                <w:rFonts w:ascii="宋体" w:hAnsi="宋体" w:eastAsia="宋体" w:cs="宋体"/>
                <w:b/>
                <w:bCs/>
                <w:sz w:val="22"/>
                <w:szCs w:val="22"/>
              </w:rPr>
            </w:pPr>
            <w:r>
              <w:rPr>
                <w:rFonts w:hint="eastAsia" w:ascii="宋体" w:hAnsi="宋体" w:eastAsia="宋体" w:cs="宋体"/>
                <w:b/>
                <w:bCs/>
                <w:sz w:val="22"/>
                <w:szCs w:val="22"/>
                <w:lang w:eastAsia="zh-CN" w:bidi="ar"/>
              </w:rPr>
              <w:t>合计</w:t>
            </w:r>
          </w:p>
        </w:tc>
        <w:tc>
          <w:tcPr>
            <w:tcW w:w="1265"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486</w:t>
            </w:r>
          </w:p>
        </w:tc>
        <w:tc>
          <w:tcPr>
            <w:tcW w:w="27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11.16%</w:t>
            </w:r>
          </w:p>
        </w:tc>
      </w:tr>
      <w:tr>
        <w:tblPrEx>
          <w:tblCellMar>
            <w:top w:w="0" w:type="dxa"/>
            <w:left w:w="108" w:type="dxa"/>
            <w:bottom w:w="0" w:type="dxa"/>
            <w:right w:w="108" w:type="dxa"/>
          </w:tblCellMar>
        </w:tblPrEx>
        <w:trPr>
          <w:trHeight w:val="280" w:hRule="atLeast"/>
        </w:trPr>
        <w:tc>
          <w:tcPr>
            <w:tcW w:w="1863" w:type="dxa"/>
            <w:vMerge w:val="restart"/>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0" w:firstLineChars="0"/>
              <w:jc w:val="both"/>
              <w:textAlignment w:val="center"/>
              <w:rPr>
                <w:rFonts w:ascii="宋体" w:hAnsi="宋体" w:eastAsia="宋体" w:cs="宋体"/>
                <w:sz w:val="22"/>
                <w:szCs w:val="22"/>
              </w:rPr>
            </w:pPr>
            <w:r>
              <w:rPr>
                <w:rFonts w:hint="eastAsia" w:ascii="宋体" w:hAnsi="宋体" w:eastAsia="宋体" w:cs="宋体"/>
                <w:sz w:val="22"/>
                <w:szCs w:val="22"/>
                <w:lang w:eastAsia="zh-CN" w:bidi="ar"/>
              </w:rPr>
              <w:t>临床学院</w:t>
            </w:r>
          </w:p>
        </w:tc>
        <w:tc>
          <w:tcPr>
            <w:tcW w:w="2701"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口腔医学技术</w:t>
            </w:r>
          </w:p>
        </w:tc>
        <w:tc>
          <w:tcPr>
            <w:tcW w:w="1265"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151</w:t>
            </w:r>
          </w:p>
        </w:tc>
        <w:tc>
          <w:tcPr>
            <w:tcW w:w="2780"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3.47%</w:t>
            </w:r>
          </w:p>
        </w:tc>
      </w:tr>
      <w:tr>
        <w:tblPrEx>
          <w:tblCellMar>
            <w:top w:w="0" w:type="dxa"/>
            <w:left w:w="108" w:type="dxa"/>
            <w:bottom w:w="0" w:type="dxa"/>
            <w:right w:w="108" w:type="dxa"/>
          </w:tblCellMar>
        </w:tblPrEx>
        <w:trPr>
          <w:trHeight w:val="280" w:hRule="atLeast"/>
        </w:trPr>
        <w:tc>
          <w:tcPr>
            <w:tcW w:w="186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440"/>
              <w:jc w:val="center"/>
              <w:rPr>
                <w:rFonts w:ascii="宋体" w:hAnsi="宋体" w:eastAsia="宋体" w:cs="宋体"/>
                <w:sz w:val="22"/>
                <w:szCs w:val="22"/>
              </w:rPr>
            </w:pPr>
          </w:p>
        </w:tc>
        <w:tc>
          <w:tcPr>
            <w:tcW w:w="2701"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中药学</w:t>
            </w:r>
          </w:p>
        </w:tc>
        <w:tc>
          <w:tcPr>
            <w:tcW w:w="1265"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129</w:t>
            </w:r>
          </w:p>
        </w:tc>
        <w:tc>
          <w:tcPr>
            <w:tcW w:w="27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2.96%</w:t>
            </w:r>
          </w:p>
        </w:tc>
      </w:tr>
      <w:tr>
        <w:tblPrEx>
          <w:tblCellMar>
            <w:top w:w="0" w:type="dxa"/>
            <w:left w:w="108" w:type="dxa"/>
            <w:bottom w:w="0" w:type="dxa"/>
            <w:right w:w="108" w:type="dxa"/>
          </w:tblCellMar>
        </w:tblPrEx>
        <w:trPr>
          <w:trHeight w:val="280" w:hRule="atLeast"/>
        </w:trPr>
        <w:tc>
          <w:tcPr>
            <w:tcW w:w="186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440"/>
              <w:jc w:val="center"/>
              <w:rPr>
                <w:rFonts w:ascii="宋体" w:hAnsi="宋体" w:eastAsia="宋体" w:cs="宋体"/>
                <w:sz w:val="22"/>
                <w:szCs w:val="22"/>
              </w:rPr>
            </w:pPr>
          </w:p>
        </w:tc>
        <w:tc>
          <w:tcPr>
            <w:tcW w:w="2701"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2"/>
              <w:jc w:val="center"/>
              <w:textAlignment w:val="center"/>
              <w:rPr>
                <w:rFonts w:ascii="宋体" w:hAnsi="宋体" w:eastAsia="宋体" w:cs="宋体"/>
                <w:b/>
                <w:bCs/>
                <w:sz w:val="22"/>
                <w:szCs w:val="22"/>
              </w:rPr>
            </w:pPr>
            <w:r>
              <w:rPr>
                <w:rFonts w:hint="eastAsia" w:ascii="宋体" w:hAnsi="宋体" w:eastAsia="宋体" w:cs="宋体"/>
                <w:b/>
                <w:bCs/>
                <w:sz w:val="22"/>
                <w:szCs w:val="22"/>
                <w:lang w:eastAsia="zh-CN" w:bidi="ar"/>
              </w:rPr>
              <w:t>合计</w:t>
            </w:r>
          </w:p>
        </w:tc>
        <w:tc>
          <w:tcPr>
            <w:tcW w:w="1265"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280</w:t>
            </w:r>
          </w:p>
        </w:tc>
        <w:tc>
          <w:tcPr>
            <w:tcW w:w="2780"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6.43%</w:t>
            </w:r>
          </w:p>
        </w:tc>
      </w:tr>
      <w:tr>
        <w:tblPrEx>
          <w:tblCellMar>
            <w:top w:w="0" w:type="dxa"/>
            <w:left w:w="108" w:type="dxa"/>
            <w:bottom w:w="0" w:type="dxa"/>
            <w:right w:w="108" w:type="dxa"/>
          </w:tblCellMar>
        </w:tblPrEx>
        <w:trPr>
          <w:trHeight w:val="280" w:hRule="atLeast"/>
        </w:trPr>
        <w:tc>
          <w:tcPr>
            <w:tcW w:w="1863" w:type="dxa"/>
            <w:vMerge w:val="restart"/>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0" w:firstLineChars="0"/>
              <w:jc w:val="both"/>
              <w:textAlignment w:val="center"/>
              <w:rPr>
                <w:rFonts w:ascii="宋体" w:hAnsi="宋体" w:eastAsia="宋体" w:cs="宋体"/>
                <w:sz w:val="22"/>
                <w:szCs w:val="22"/>
              </w:rPr>
            </w:pPr>
            <w:r>
              <w:rPr>
                <w:rFonts w:hint="eastAsia" w:ascii="宋体" w:hAnsi="宋体" w:eastAsia="宋体" w:cs="宋体"/>
                <w:sz w:val="22"/>
                <w:szCs w:val="22"/>
                <w:lang w:eastAsia="zh-CN" w:bidi="ar"/>
              </w:rPr>
              <w:t>机电学院</w:t>
            </w:r>
          </w:p>
        </w:tc>
        <w:tc>
          <w:tcPr>
            <w:tcW w:w="2701"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新能源汽车技术</w:t>
            </w:r>
          </w:p>
        </w:tc>
        <w:tc>
          <w:tcPr>
            <w:tcW w:w="1265"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131</w:t>
            </w:r>
          </w:p>
        </w:tc>
        <w:tc>
          <w:tcPr>
            <w:tcW w:w="27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3.01%</w:t>
            </w:r>
          </w:p>
        </w:tc>
      </w:tr>
      <w:tr>
        <w:tblPrEx>
          <w:tblCellMar>
            <w:top w:w="0" w:type="dxa"/>
            <w:left w:w="108" w:type="dxa"/>
            <w:bottom w:w="0" w:type="dxa"/>
            <w:right w:w="108" w:type="dxa"/>
          </w:tblCellMar>
        </w:tblPrEx>
        <w:trPr>
          <w:trHeight w:val="280" w:hRule="atLeast"/>
        </w:trPr>
        <w:tc>
          <w:tcPr>
            <w:tcW w:w="186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440"/>
              <w:jc w:val="center"/>
              <w:rPr>
                <w:rFonts w:ascii="宋体" w:hAnsi="宋体" w:eastAsia="宋体" w:cs="宋体"/>
                <w:sz w:val="22"/>
                <w:szCs w:val="22"/>
              </w:rPr>
            </w:pPr>
          </w:p>
        </w:tc>
        <w:tc>
          <w:tcPr>
            <w:tcW w:w="2701"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机电一体化技术</w:t>
            </w:r>
          </w:p>
        </w:tc>
        <w:tc>
          <w:tcPr>
            <w:tcW w:w="1265"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79</w:t>
            </w:r>
          </w:p>
        </w:tc>
        <w:tc>
          <w:tcPr>
            <w:tcW w:w="2780"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1.81%</w:t>
            </w:r>
          </w:p>
        </w:tc>
      </w:tr>
      <w:tr>
        <w:tblPrEx>
          <w:tblCellMar>
            <w:top w:w="0" w:type="dxa"/>
            <w:left w:w="108" w:type="dxa"/>
            <w:bottom w:w="0" w:type="dxa"/>
            <w:right w:w="108" w:type="dxa"/>
          </w:tblCellMar>
        </w:tblPrEx>
        <w:trPr>
          <w:trHeight w:val="280" w:hRule="atLeast"/>
        </w:trPr>
        <w:tc>
          <w:tcPr>
            <w:tcW w:w="186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440"/>
              <w:jc w:val="center"/>
              <w:rPr>
                <w:rFonts w:ascii="宋体" w:hAnsi="宋体" w:eastAsia="宋体" w:cs="宋体"/>
                <w:sz w:val="22"/>
                <w:szCs w:val="22"/>
              </w:rPr>
            </w:pPr>
          </w:p>
        </w:tc>
        <w:tc>
          <w:tcPr>
            <w:tcW w:w="2701"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汽车检测与维修技术</w:t>
            </w:r>
          </w:p>
        </w:tc>
        <w:tc>
          <w:tcPr>
            <w:tcW w:w="1265"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79</w:t>
            </w:r>
          </w:p>
        </w:tc>
        <w:tc>
          <w:tcPr>
            <w:tcW w:w="27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1.81%</w:t>
            </w:r>
          </w:p>
        </w:tc>
      </w:tr>
      <w:tr>
        <w:tblPrEx>
          <w:tblCellMar>
            <w:top w:w="0" w:type="dxa"/>
            <w:left w:w="108" w:type="dxa"/>
            <w:bottom w:w="0" w:type="dxa"/>
            <w:right w:w="108" w:type="dxa"/>
          </w:tblCellMar>
        </w:tblPrEx>
        <w:trPr>
          <w:trHeight w:val="280" w:hRule="atLeast"/>
        </w:trPr>
        <w:tc>
          <w:tcPr>
            <w:tcW w:w="186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440"/>
              <w:jc w:val="center"/>
              <w:rPr>
                <w:rFonts w:ascii="宋体" w:hAnsi="宋体" w:eastAsia="宋体" w:cs="宋体"/>
                <w:sz w:val="22"/>
                <w:szCs w:val="22"/>
              </w:rPr>
            </w:pPr>
          </w:p>
        </w:tc>
        <w:tc>
          <w:tcPr>
            <w:tcW w:w="2701"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电气自动化技术</w:t>
            </w:r>
          </w:p>
        </w:tc>
        <w:tc>
          <w:tcPr>
            <w:tcW w:w="1265"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67</w:t>
            </w:r>
          </w:p>
        </w:tc>
        <w:tc>
          <w:tcPr>
            <w:tcW w:w="2780"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1.54%</w:t>
            </w:r>
          </w:p>
        </w:tc>
      </w:tr>
      <w:tr>
        <w:tblPrEx>
          <w:tblCellMar>
            <w:top w:w="0" w:type="dxa"/>
            <w:left w:w="108" w:type="dxa"/>
            <w:bottom w:w="0" w:type="dxa"/>
            <w:right w:w="108" w:type="dxa"/>
          </w:tblCellMar>
        </w:tblPrEx>
        <w:trPr>
          <w:trHeight w:val="280" w:hRule="atLeast"/>
        </w:trPr>
        <w:tc>
          <w:tcPr>
            <w:tcW w:w="186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440"/>
              <w:jc w:val="center"/>
              <w:rPr>
                <w:rFonts w:ascii="宋体" w:hAnsi="宋体" w:eastAsia="宋体" w:cs="宋体"/>
                <w:sz w:val="22"/>
                <w:szCs w:val="22"/>
              </w:rPr>
            </w:pPr>
          </w:p>
        </w:tc>
        <w:tc>
          <w:tcPr>
            <w:tcW w:w="2701"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机械设计与制造</w:t>
            </w:r>
          </w:p>
        </w:tc>
        <w:tc>
          <w:tcPr>
            <w:tcW w:w="1265"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65</w:t>
            </w:r>
          </w:p>
        </w:tc>
        <w:tc>
          <w:tcPr>
            <w:tcW w:w="27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1.49%</w:t>
            </w:r>
          </w:p>
        </w:tc>
      </w:tr>
      <w:tr>
        <w:tblPrEx>
          <w:tblCellMar>
            <w:top w:w="0" w:type="dxa"/>
            <w:left w:w="108" w:type="dxa"/>
            <w:bottom w:w="0" w:type="dxa"/>
            <w:right w:w="108" w:type="dxa"/>
          </w:tblCellMar>
        </w:tblPrEx>
        <w:trPr>
          <w:trHeight w:val="280" w:hRule="atLeast"/>
        </w:trPr>
        <w:tc>
          <w:tcPr>
            <w:tcW w:w="186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440"/>
              <w:jc w:val="center"/>
              <w:rPr>
                <w:rFonts w:ascii="宋体" w:hAnsi="宋体" w:eastAsia="宋体" w:cs="宋体"/>
                <w:sz w:val="22"/>
                <w:szCs w:val="22"/>
              </w:rPr>
            </w:pPr>
          </w:p>
        </w:tc>
        <w:tc>
          <w:tcPr>
            <w:tcW w:w="2701"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lang w:eastAsia="zh-CN"/>
              </w:rPr>
            </w:pPr>
            <w:r>
              <w:rPr>
                <w:rFonts w:hint="eastAsia" w:ascii="宋体" w:hAnsi="宋体" w:eastAsia="宋体" w:cs="宋体"/>
                <w:sz w:val="22"/>
                <w:szCs w:val="22"/>
                <w:lang w:eastAsia="zh-CN" w:bidi="ar"/>
              </w:rPr>
              <w:t>机械设计制造及其自动化</w:t>
            </w:r>
          </w:p>
        </w:tc>
        <w:tc>
          <w:tcPr>
            <w:tcW w:w="1265"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40</w:t>
            </w:r>
          </w:p>
        </w:tc>
        <w:tc>
          <w:tcPr>
            <w:tcW w:w="2780"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0.92%</w:t>
            </w:r>
          </w:p>
        </w:tc>
      </w:tr>
      <w:tr>
        <w:tblPrEx>
          <w:tblCellMar>
            <w:top w:w="0" w:type="dxa"/>
            <w:left w:w="108" w:type="dxa"/>
            <w:bottom w:w="0" w:type="dxa"/>
            <w:right w:w="108" w:type="dxa"/>
          </w:tblCellMar>
        </w:tblPrEx>
        <w:trPr>
          <w:trHeight w:val="280" w:hRule="atLeast"/>
        </w:trPr>
        <w:tc>
          <w:tcPr>
            <w:tcW w:w="186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440"/>
              <w:jc w:val="center"/>
              <w:rPr>
                <w:rFonts w:ascii="宋体" w:hAnsi="宋体" w:eastAsia="宋体" w:cs="宋体"/>
                <w:sz w:val="22"/>
                <w:szCs w:val="22"/>
              </w:rPr>
            </w:pPr>
          </w:p>
        </w:tc>
        <w:tc>
          <w:tcPr>
            <w:tcW w:w="2701"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智能控制技术</w:t>
            </w:r>
          </w:p>
        </w:tc>
        <w:tc>
          <w:tcPr>
            <w:tcW w:w="1265"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19</w:t>
            </w:r>
          </w:p>
        </w:tc>
        <w:tc>
          <w:tcPr>
            <w:tcW w:w="27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0.44%</w:t>
            </w:r>
          </w:p>
        </w:tc>
      </w:tr>
      <w:tr>
        <w:tblPrEx>
          <w:tblCellMar>
            <w:top w:w="0" w:type="dxa"/>
            <w:left w:w="108" w:type="dxa"/>
            <w:bottom w:w="0" w:type="dxa"/>
            <w:right w:w="108" w:type="dxa"/>
          </w:tblCellMar>
        </w:tblPrEx>
        <w:trPr>
          <w:trHeight w:val="280" w:hRule="atLeast"/>
        </w:trPr>
        <w:tc>
          <w:tcPr>
            <w:tcW w:w="186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440"/>
              <w:jc w:val="center"/>
              <w:rPr>
                <w:rFonts w:ascii="宋体" w:hAnsi="宋体" w:eastAsia="宋体" w:cs="宋体"/>
                <w:sz w:val="22"/>
                <w:szCs w:val="22"/>
              </w:rPr>
            </w:pPr>
          </w:p>
        </w:tc>
        <w:tc>
          <w:tcPr>
            <w:tcW w:w="2701"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工业机器人技术</w:t>
            </w:r>
          </w:p>
        </w:tc>
        <w:tc>
          <w:tcPr>
            <w:tcW w:w="1265"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8</w:t>
            </w:r>
          </w:p>
        </w:tc>
        <w:tc>
          <w:tcPr>
            <w:tcW w:w="2780"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0.18%</w:t>
            </w:r>
          </w:p>
        </w:tc>
      </w:tr>
      <w:tr>
        <w:tblPrEx>
          <w:tblCellMar>
            <w:top w:w="0" w:type="dxa"/>
            <w:left w:w="108" w:type="dxa"/>
            <w:bottom w:w="0" w:type="dxa"/>
            <w:right w:w="108" w:type="dxa"/>
          </w:tblCellMar>
        </w:tblPrEx>
        <w:trPr>
          <w:trHeight w:val="280" w:hRule="atLeast"/>
        </w:trPr>
        <w:tc>
          <w:tcPr>
            <w:tcW w:w="186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440"/>
              <w:jc w:val="center"/>
              <w:rPr>
                <w:rFonts w:ascii="宋体" w:hAnsi="宋体" w:eastAsia="宋体" w:cs="宋体"/>
                <w:sz w:val="22"/>
                <w:szCs w:val="22"/>
              </w:rPr>
            </w:pPr>
          </w:p>
        </w:tc>
        <w:tc>
          <w:tcPr>
            <w:tcW w:w="2701"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2"/>
              <w:jc w:val="center"/>
              <w:textAlignment w:val="center"/>
              <w:rPr>
                <w:rFonts w:ascii="宋体" w:hAnsi="宋体" w:eastAsia="宋体" w:cs="宋体"/>
                <w:b/>
                <w:bCs/>
                <w:sz w:val="22"/>
                <w:szCs w:val="22"/>
              </w:rPr>
            </w:pPr>
            <w:r>
              <w:rPr>
                <w:rFonts w:hint="eastAsia" w:ascii="宋体" w:hAnsi="宋体" w:eastAsia="宋体" w:cs="宋体"/>
                <w:b/>
                <w:bCs/>
                <w:sz w:val="22"/>
                <w:szCs w:val="22"/>
                <w:lang w:eastAsia="zh-CN" w:bidi="ar"/>
              </w:rPr>
              <w:t>合计</w:t>
            </w:r>
          </w:p>
        </w:tc>
        <w:tc>
          <w:tcPr>
            <w:tcW w:w="1265"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488</w:t>
            </w:r>
          </w:p>
        </w:tc>
        <w:tc>
          <w:tcPr>
            <w:tcW w:w="27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11.20%</w:t>
            </w:r>
          </w:p>
        </w:tc>
      </w:tr>
      <w:tr>
        <w:tblPrEx>
          <w:tblCellMar>
            <w:top w:w="0" w:type="dxa"/>
            <w:left w:w="108" w:type="dxa"/>
            <w:bottom w:w="0" w:type="dxa"/>
            <w:right w:w="108" w:type="dxa"/>
          </w:tblCellMar>
        </w:tblPrEx>
        <w:trPr>
          <w:trHeight w:val="280" w:hRule="atLeast"/>
        </w:trPr>
        <w:tc>
          <w:tcPr>
            <w:tcW w:w="1863" w:type="dxa"/>
            <w:vMerge w:val="restart"/>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0" w:firstLineChars="0"/>
              <w:jc w:val="both"/>
              <w:textAlignment w:val="center"/>
              <w:rPr>
                <w:rFonts w:ascii="宋体" w:hAnsi="宋体" w:eastAsia="宋体" w:cs="宋体"/>
                <w:sz w:val="22"/>
                <w:szCs w:val="22"/>
              </w:rPr>
            </w:pPr>
            <w:r>
              <w:rPr>
                <w:rFonts w:hint="eastAsia" w:ascii="宋体" w:hAnsi="宋体" w:eastAsia="宋体" w:cs="宋体"/>
                <w:sz w:val="22"/>
                <w:szCs w:val="22"/>
                <w:lang w:eastAsia="zh-CN" w:bidi="ar"/>
              </w:rPr>
              <w:t>设计学院</w:t>
            </w:r>
          </w:p>
        </w:tc>
        <w:tc>
          <w:tcPr>
            <w:tcW w:w="2701"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艺术设计</w:t>
            </w:r>
          </w:p>
        </w:tc>
        <w:tc>
          <w:tcPr>
            <w:tcW w:w="1265"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58</w:t>
            </w:r>
          </w:p>
        </w:tc>
        <w:tc>
          <w:tcPr>
            <w:tcW w:w="2780"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1.33%</w:t>
            </w:r>
          </w:p>
        </w:tc>
      </w:tr>
      <w:tr>
        <w:tblPrEx>
          <w:tblCellMar>
            <w:top w:w="0" w:type="dxa"/>
            <w:left w:w="108" w:type="dxa"/>
            <w:bottom w:w="0" w:type="dxa"/>
            <w:right w:w="108" w:type="dxa"/>
          </w:tblCellMar>
        </w:tblPrEx>
        <w:trPr>
          <w:trHeight w:val="280" w:hRule="atLeast"/>
        </w:trPr>
        <w:tc>
          <w:tcPr>
            <w:tcW w:w="186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440"/>
              <w:jc w:val="center"/>
              <w:rPr>
                <w:rFonts w:ascii="宋体" w:hAnsi="宋体" w:eastAsia="宋体" w:cs="宋体"/>
                <w:sz w:val="22"/>
                <w:szCs w:val="22"/>
              </w:rPr>
            </w:pPr>
          </w:p>
        </w:tc>
        <w:tc>
          <w:tcPr>
            <w:tcW w:w="2701"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环境艺术设计</w:t>
            </w:r>
          </w:p>
        </w:tc>
        <w:tc>
          <w:tcPr>
            <w:tcW w:w="1265"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30</w:t>
            </w:r>
          </w:p>
        </w:tc>
        <w:tc>
          <w:tcPr>
            <w:tcW w:w="27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0.69%</w:t>
            </w:r>
          </w:p>
        </w:tc>
      </w:tr>
      <w:tr>
        <w:tblPrEx>
          <w:tblCellMar>
            <w:top w:w="0" w:type="dxa"/>
            <w:left w:w="108" w:type="dxa"/>
            <w:bottom w:w="0" w:type="dxa"/>
            <w:right w:w="108" w:type="dxa"/>
          </w:tblCellMar>
        </w:tblPrEx>
        <w:trPr>
          <w:trHeight w:val="280" w:hRule="atLeast"/>
        </w:trPr>
        <w:tc>
          <w:tcPr>
            <w:tcW w:w="186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440"/>
              <w:jc w:val="center"/>
              <w:rPr>
                <w:rFonts w:ascii="宋体" w:hAnsi="宋体" w:eastAsia="宋体" w:cs="宋体"/>
                <w:sz w:val="22"/>
                <w:szCs w:val="22"/>
              </w:rPr>
            </w:pPr>
          </w:p>
        </w:tc>
        <w:tc>
          <w:tcPr>
            <w:tcW w:w="2701"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传播与策划</w:t>
            </w:r>
          </w:p>
        </w:tc>
        <w:tc>
          <w:tcPr>
            <w:tcW w:w="1265"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29</w:t>
            </w:r>
          </w:p>
        </w:tc>
        <w:tc>
          <w:tcPr>
            <w:tcW w:w="2780"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0.67%</w:t>
            </w:r>
          </w:p>
        </w:tc>
      </w:tr>
      <w:tr>
        <w:tblPrEx>
          <w:tblCellMar>
            <w:top w:w="0" w:type="dxa"/>
            <w:left w:w="108" w:type="dxa"/>
            <w:bottom w:w="0" w:type="dxa"/>
            <w:right w:w="108" w:type="dxa"/>
          </w:tblCellMar>
        </w:tblPrEx>
        <w:trPr>
          <w:trHeight w:val="280" w:hRule="atLeast"/>
        </w:trPr>
        <w:tc>
          <w:tcPr>
            <w:tcW w:w="186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440"/>
              <w:jc w:val="center"/>
              <w:rPr>
                <w:rFonts w:ascii="宋体" w:hAnsi="宋体" w:eastAsia="宋体" w:cs="宋体"/>
                <w:sz w:val="22"/>
                <w:szCs w:val="22"/>
              </w:rPr>
            </w:pPr>
          </w:p>
        </w:tc>
        <w:tc>
          <w:tcPr>
            <w:tcW w:w="2701"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风景园林设计</w:t>
            </w:r>
          </w:p>
        </w:tc>
        <w:tc>
          <w:tcPr>
            <w:tcW w:w="1265"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20</w:t>
            </w:r>
          </w:p>
        </w:tc>
        <w:tc>
          <w:tcPr>
            <w:tcW w:w="27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0.46%</w:t>
            </w:r>
          </w:p>
        </w:tc>
      </w:tr>
      <w:tr>
        <w:tblPrEx>
          <w:tblCellMar>
            <w:top w:w="0" w:type="dxa"/>
            <w:left w:w="108" w:type="dxa"/>
            <w:bottom w:w="0" w:type="dxa"/>
            <w:right w:w="108" w:type="dxa"/>
          </w:tblCellMar>
        </w:tblPrEx>
        <w:trPr>
          <w:trHeight w:val="280" w:hRule="atLeast"/>
        </w:trPr>
        <w:tc>
          <w:tcPr>
            <w:tcW w:w="186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440"/>
              <w:jc w:val="center"/>
              <w:rPr>
                <w:rFonts w:ascii="宋体" w:hAnsi="宋体" w:eastAsia="宋体" w:cs="宋体"/>
                <w:sz w:val="22"/>
                <w:szCs w:val="22"/>
              </w:rPr>
            </w:pPr>
          </w:p>
        </w:tc>
        <w:tc>
          <w:tcPr>
            <w:tcW w:w="2701"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2"/>
              <w:jc w:val="center"/>
              <w:textAlignment w:val="center"/>
              <w:rPr>
                <w:rFonts w:ascii="宋体" w:hAnsi="宋体" w:eastAsia="宋体" w:cs="宋体"/>
                <w:b/>
                <w:bCs/>
                <w:sz w:val="22"/>
                <w:szCs w:val="22"/>
              </w:rPr>
            </w:pPr>
            <w:r>
              <w:rPr>
                <w:rFonts w:hint="eastAsia" w:ascii="宋体" w:hAnsi="宋体" w:eastAsia="宋体" w:cs="宋体"/>
                <w:b/>
                <w:bCs/>
                <w:sz w:val="22"/>
                <w:szCs w:val="22"/>
                <w:lang w:eastAsia="zh-CN" w:bidi="ar"/>
              </w:rPr>
              <w:t>合计</w:t>
            </w:r>
          </w:p>
        </w:tc>
        <w:tc>
          <w:tcPr>
            <w:tcW w:w="1265"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137</w:t>
            </w:r>
          </w:p>
        </w:tc>
        <w:tc>
          <w:tcPr>
            <w:tcW w:w="2780"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3.15%</w:t>
            </w:r>
          </w:p>
        </w:tc>
      </w:tr>
      <w:tr>
        <w:tblPrEx>
          <w:tblCellMar>
            <w:top w:w="0" w:type="dxa"/>
            <w:left w:w="108" w:type="dxa"/>
            <w:bottom w:w="0" w:type="dxa"/>
            <w:right w:w="108" w:type="dxa"/>
          </w:tblCellMar>
        </w:tblPrEx>
        <w:trPr>
          <w:trHeight w:val="280" w:hRule="atLeast"/>
        </w:trPr>
        <w:tc>
          <w:tcPr>
            <w:tcW w:w="1863" w:type="dxa"/>
            <w:vMerge w:val="restart"/>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0" w:firstLineChars="0"/>
              <w:jc w:val="both"/>
              <w:textAlignment w:val="center"/>
              <w:rPr>
                <w:rFonts w:ascii="宋体" w:hAnsi="宋体" w:eastAsia="宋体" w:cs="宋体"/>
                <w:sz w:val="22"/>
                <w:szCs w:val="22"/>
              </w:rPr>
            </w:pPr>
            <w:r>
              <w:rPr>
                <w:rFonts w:hint="eastAsia" w:ascii="宋体" w:hAnsi="宋体" w:eastAsia="宋体" w:cs="宋体"/>
                <w:sz w:val="22"/>
                <w:szCs w:val="22"/>
                <w:lang w:eastAsia="zh-CN" w:bidi="ar"/>
              </w:rPr>
              <w:t>海事学院</w:t>
            </w:r>
          </w:p>
        </w:tc>
        <w:tc>
          <w:tcPr>
            <w:tcW w:w="2701"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国际邮轮乘务管理</w:t>
            </w:r>
          </w:p>
        </w:tc>
        <w:tc>
          <w:tcPr>
            <w:tcW w:w="1265"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39</w:t>
            </w:r>
          </w:p>
        </w:tc>
        <w:tc>
          <w:tcPr>
            <w:tcW w:w="27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0.90%</w:t>
            </w:r>
          </w:p>
        </w:tc>
      </w:tr>
      <w:tr>
        <w:tblPrEx>
          <w:tblCellMar>
            <w:top w:w="0" w:type="dxa"/>
            <w:left w:w="108" w:type="dxa"/>
            <w:bottom w:w="0" w:type="dxa"/>
            <w:right w:w="108" w:type="dxa"/>
          </w:tblCellMar>
        </w:tblPrEx>
        <w:trPr>
          <w:trHeight w:val="280" w:hRule="atLeast"/>
        </w:trPr>
        <w:tc>
          <w:tcPr>
            <w:tcW w:w="186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440"/>
              <w:jc w:val="center"/>
              <w:rPr>
                <w:rFonts w:ascii="宋体" w:hAnsi="宋体" w:eastAsia="宋体" w:cs="宋体"/>
                <w:sz w:val="22"/>
                <w:szCs w:val="22"/>
              </w:rPr>
            </w:pPr>
          </w:p>
        </w:tc>
        <w:tc>
          <w:tcPr>
            <w:tcW w:w="2701"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水路运输与海事管理</w:t>
            </w:r>
          </w:p>
        </w:tc>
        <w:tc>
          <w:tcPr>
            <w:tcW w:w="1265"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32</w:t>
            </w:r>
          </w:p>
        </w:tc>
        <w:tc>
          <w:tcPr>
            <w:tcW w:w="2780"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0.73%</w:t>
            </w:r>
          </w:p>
        </w:tc>
      </w:tr>
      <w:tr>
        <w:tblPrEx>
          <w:tblCellMar>
            <w:top w:w="0" w:type="dxa"/>
            <w:left w:w="108" w:type="dxa"/>
            <w:bottom w:w="0" w:type="dxa"/>
            <w:right w:w="108" w:type="dxa"/>
          </w:tblCellMar>
        </w:tblPrEx>
        <w:trPr>
          <w:trHeight w:val="280" w:hRule="atLeast"/>
        </w:trPr>
        <w:tc>
          <w:tcPr>
            <w:tcW w:w="186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440"/>
              <w:jc w:val="center"/>
              <w:rPr>
                <w:rFonts w:ascii="宋体" w:hAnsi="宋体" w:eastAsia="宋体" w:cs="宋体"/>
                <w:sz w:val="22"/>
                <w:szCs w:val="22"/>
              </w:rPr>
            </w:pPr>
          </w:p>
        </w:tc>
        <w:tc>
          <w:tcPr>
            <w:tcW w:w="2701"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轮机工程技术</w:t>
            </w:r>
          </w:p>
        </w:tc>
        <w:tc>
          <w:tcPr>
            <w:tcW w:w="1265"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24</w:t>
            </w:r>
          </w:p>
        </w:tc>
        <w:tc>
          <w:tcPr>
            <w:tcW w:w="27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0.55%</w:t>
            </w:r>
          </w:p>
        </w:tc>
      </w:tr>
      <w:tr>
        <w:tblPrEx>
          <w:tblCellMar>
            <w:top w:w="0" w:type="dxa"/>
            <w:left w:w="108" w:type="dxa"/>
            <w:bottom w:w="0" w:type="dxa"/>
            <w:right w:w="108" w:type="dxa"/>
          </w:tblCellMar>
        </w:tblPrEx>
        <w:trPr>
          <w:trHeight w:val="280" w:hRule="atLeast"/>
        </w:trPr>
        <w:tc>
          <w:tcPr>
            <w:tcW w:w="186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440"/>
              <w:jc w:val="center"/>
              <w:rPr>
                <w:rFonts w:ascii="宋体" w:hAnsi="宋体" w:eastAsia="宋体" w:cs="宋体"/>
                <w:sz w:val="22"/>
                <w:szCs w:val="22"/>
              </w:rPr>
            </w:pPr>
          </w:p>
        </w:tc>
        <w:tc>
          <w:tcPr>
            <w:tcW w:w="2701"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体育运营与管理</w:t>
            </w:r>
          </w:p>
        </w:tc>
        <w:tc>
          <w:tcPr>
            <w:tcW w:w="1265"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16</w:t>
            </w:r>
          </w:p>
        </w:tc>
        <w:tc>
          <w:tcPr>
            <w:tcW w:w="2780"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0.37%</w:t>
            </w:r>
          </w:p>
        </w:tc>
      </w:tr>
      <w:tr>
        <w:tblPrEx>
          <w:tblCellMar>
            <w:top w:w="0" w:type="dxa"/>
            <w:left w:w="108" w:type="dxa"/>
            <w:bottom w:w="0" w:type="dxa"/>
            <w:right w:w="108" w:type="dxa"/>
          </w:tblCellMar>
        </w:tblPrEx>
        <w:trPr>
          <w:trHeight w:val="280" w:hRule="atLeast"/>
        </w:trPr>
        <w:tc>
          <w:tcPr>
            <w:tcW w:w="186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440"/>
              <w:jc w:val="center"/>
              <w:rPr>
                <w:rFonts w:ascii="宋体" w:hAnsi="宋体" w:eastAsia="宋体" w:cs="宋体"/>
                <w:sz w:val="22"/>
                <w:szCs w:val="22"/>
              </w:rPr>
            </w:pPr>
          </w:p>
        </w:tc>
        <w:tc>
          <w:tcPr>
            <w:tcW w:w="2701"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航海技术</w:t>
            </w:r>
          </w:p>
        </w:tc>
        <w:tc>
          <w:tcPr>
            <w:tcW w:w="1265"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125</w:t>
            </w:r>
          </w:p>
        </w:tc>
        <w:tc>
          <w:tcPr>
            <w:tcW w:w="27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2.87%</w:t>
            </w:r>
          </w:p>
        </w:tc>
      </w:tr>
      <w:tr>
        <w:tblPrEx>
          <w:tblCellMar>
            <w:top w:w="0" w:type="dxa"/>
            <w:left w:w="108" w:type="dxa"/>
            <w:bottom w:w="0" w:type="dxa"/>
            <w:right w:w="108" w:type="dxa"/>
          </w:tblCellMar>
        </w:tblPrEx>
        <w:trPr>
          <w:trHeight w:val="280" w:hRule="atLeast"/>
        </w:trPr>
        <w:tc>
          <w:tcPr>
            <w:tcW w:w="186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440"/>
              <w:jc w:val="center"/>
              <w:rPr>
                <w:rFonts w:ascii="宋体" w:hAnsi="宋体" w:eastAsia="宋体" w:cs="宋体"/>
                <w:sz w:val="22"/>
                <w:szCs w:val="22"/>
              </w:rPr>
            </w:pPr>
          </w:p>
        </w:tc>
        <w:tc>
          <w:tcPr>
            <w:tcW w:w="2701"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2"/>
              <w:jc w:val="center"/>
              <w:textAlignment w:val="center"/>
              <w:rPr>
                <w:rFonts w:ascii="宋体" w:hAnsi="宋体" w:eastAsia="宋体" w:cs="宋体"/>
                <w:b/>
                <w:bCs/>
                <w:sz w:val="22"/>
                <w:szCs w:val="22"/>
              </w:rPr>
            </w:pPr>
            <w:r>
              <w:rPr>
                <w:rFonts w:hint="eastAsia" w:ascii="宋体" w:hAnsi="宋体" w:eastAsia="宋体" w:cs="宋体"/>
                <w:b/>
                <w:bCs/>
                <w:sz w:val="22"/>
                <w:szCs w:val="22"/>
                <w:lang w:eastAsia="zh-CN" w:bidi="ar"/>
              </w:rPr>
              <w:t>合计</w:t>
            </w:r>
          </w:p>
        </w:tc>
        <w:tc>
          <w:tcPr>
            <w:tcW w:w="1265"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236</w:t>
            </w:r>
          </w:p>
        </w:tc>
        <w:tc>
          <w:tcPr>
            <w:tcW w:w="2780"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5.42%</w:t>
            </w:r>
          </w:p>
        </w:tc>
      </w:tr>
      <w:tr>
        <w:tblPrEx>
          <w:tblCellMar>
            <w:top w:w="0" w:type="dxa"/>
            <w:left w:w="108" w:type="dxa"/>
            <w:bottom w:w="0" w:type="dxa"/>
            <w:right w:w="108" w:type="dxa"/>
          </w:tblCellMar>
        </w:tblPrEx>
        <w:trPr>
          <w:trHeight w:val="280" w:hRule="atLeast"/>
        </w:trPr>
        <w:tc>
          <w:tcPr>
            <w:tcW w:w="1863" w:type="dxa"/>
            <w:vMerge w:val="restart"/>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0" w:firstLineChars="0"/>
              <w:jc w:val="both"/>
              <w:textAlignment w:val="center"/>
              <w:rPr>
                <w:rFonts w:ascii="宋体" w:hAnsi="宋体" w:eastAsia="宋体" w:cs="宋体"/>
                <w:sz w:val="22"/>
                <w:szCs w:val="22"/>
              </w:rPr>
            </w:pPr>
            <w:r>
              <w:rPr>
                <w:rFonts w:hint="eastAsia" w:ascii="宋体" w:hAnsi="宋体" w:eastAsia="宋体" w:cs="宋体"/>
                <w:sz w:val="22"/>
                <w:szCs w:val="22"/>
                <w:lang w:eastAsia="zh-CN" w:bidi="ar"/>
              </w:rPr>
              <w:t>化工学院</w:t>
            </w:r>
          </w:p>
        </w:tc>
        <w:tc>
          <w:tcPr>
            <w:tcW w:w="2701"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食品营养与检测</w:t>
            </w:r>
          </w:p>
        </w:tc>
        <w:tc>
          <w:tcPr>
            <w:tcW w:w="1265"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34</w:t>
            </w:r>
          </w:p>
        </w:tc>
        <w:tc>
          <w:tcPr>
            <w:tcW w:w="27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0.78%</w:t>
            </w:r>
          </w:p>
        </w:tc>
      </w:tr>
      <w:tr>
        <w:tblPrEx>
          <w:tblCellMar>
            <w:top w:w="0" w:type="dxa"/>
            <w:left w:w="108" w:type="dxa"/>
            <w:bottom w:w="0" w:type="dxa"/>
            <w:right w:w="108" w:type="dxa"/>
          </w:tblCellMar>
        </w:tblPrEx>
        <w:trPr>
          <w:trHeight w:val="280" w:hRule="atLeast"/>
        </w:trPr>
        <w:tc>
          <w:tcPr>
            <w:tcW w:w="186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440"/>
              <w:jc w:val="center"/>
              <w:rPr>
                <w:rFonts w:ascii="宋体" w:hAnsi="宋体" w:eastAsia="宋体" w:cs="宋体"/>
                <w:sz w:val="22"/>
                <w:szCs w:val="22"/>
              </w:rPr>
            </w:pPr>
          </w:p>
        </w:tc>
        <w:tc>
          <w:tcPr>
            <w:tcW w:w="2701"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药品生产技术</w:t>
            </w:r>
          </w:p>
        </w:tc>
        <w:tc>
          <w:tcPr>
            <w:tcW w:w="1265"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24</w:t>
            </w:r>
          </w:p>
        </w:tc>
        <w:tc>
          <w:tcPr>
            <w:tcW w:w="2780"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0.55%</w:t>
            </w:r>
          </w:p>
        </w:tc>
      </w:tr>
      <w:tr>
        <w:tblPrEx>
          <w:tblCellMar>
            <w:top w:w="0" w:type="dxa"/>
            <w:left w:w="108" w:type="dxa"/>
            <w:bottom w:w="0" w:type="dxa"/>
            <w:right w:w="108" w:type="dxa"/>
          </w:tblCellMar>
        </w:tblPrEx>
        <w:trPr>
          <w:trHeight w:val="280" w:hRule="atLeast"/>
        </w:trPr>
        <w:tc>
          <w:tcPr>
            <w:tcW w:w="186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440"/>
              <w:jc w:val="center"/>
              <w:rPr>
                <w:rFonts w:ascii="宋体" w:hAnsi="宋体" w:eastAsia="宋体" w:cs="宋体"/>
                <w:sz w:val="22"/>
                <w:szCs w:val="22"/>
              </w:rPr>
            </w:pPr>
          </w:p>
        </w:tc>
        <w:tc>
          <w:tcPr>
            <w:tcW w:w="2701"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石油化工技术</w:t>
            </w:r>
          </w:p>
        </w:tc>
        <w:tc>
          <w:tcPr>
            <w:tcW w:w="1265"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23</w:t>
            </w:r>
          </w:p>
        </w:tc>
        <w:tc>
          <w:tcPr>
            <w:tcW w:w="27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0.53%</w:t>
            </w:r>
          </w:p>
        </w:tc>
      </w:tr>
      <w:tr>
        <w:tblPrEx>
          <w:tblCellMar>
            <w:top w:w="0" w:type="dxa"/>
            <w:left w:w="108" w:type="dxa"/>
            <w:bottom w:w="0" w:type="dxa"/>
            <w:right w:w="108" w:type="dxa"/>
          </w:tblCellMar>
        </w:tblPrEx>
        <w:trPr>
          <w:trHeight w:val="280" w:hRule="atLeast"/>
        </w:trPr>
        <w:tc>
          <w:tcPr>
            <w:tcW w:w="186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440"/>
              <w:jc w:val="center"/>
              <w:rPr>
                <w:rFonts w:ascii="宋体" w:hAnsi="宋体" w:eastAsia="宋体" w:cs="宋体"/>
                <w:sz w:val="22"/>
                <w:szCs w:val="22"/>
              </w:rPr>
            </w:pPr>
          </w:p>
        </w:tc>
        <w:tc>
          <w:tcPr>
            <w:tcW w:w="2701"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制药工程</w:t>
            </w:r>
          </w:p>
        </w:tc>
        <w:tc>
          <w:tcPr>
            <w:tcW w:w="1265"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16</w:t>
            </w:r>
          </w:p>
        </w:tc>
        <w:tc>
          <w:tcPr>
            <w:tcW w:w="2780"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0.37%</w:t>
            </w:r>
          </w:p>
        </w:tc>
      </w:tr>
      <w:tr>
        <w:tblPrEx>
          <w:tblCellMar>
            <w:top w:w="0" w:type="dxa"/>
            <w:left w:w="108" w:type="dxa"/>
            <w:bottom w:w="0" w:type="dxa"/>
            <w:right w:w="108" w:type="dxa"/>
          </w:tblCellMar>
        </w:tblPrEx>
        <w:trPr>
          <w:trHeight w:val="280" w:hRule="atLeast"/>
        </w:trPr>
        <w:tc>
          <w:tcPr>
            <w:tcW w:w="186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440"/>
              <w:jc w:val="center"/>
              <w:rPr>
                <w:rFonts w:ascii="宋体" w:hAnsi="宋体" w:eastAsia="宋体" w:cs="宋体"/>
                <w:sz w:val="22"/>
                <w:szCs w:val="22"/>
              </w:rPr>
            </w:pPr>
          </w:p>
        </w:tc>
        <w:tc>
          <w:tcPr>
            <w:tcW w:w="2701"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化学工程与工艺</w:t>
            </w:r>
          </w:p>
        </w:tc>
        <w:tc>
          <w:tcPr>
            <w:tcW w:w="1265"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w:t>
            </w:r>
          </w:p>
        </w:tc>
        <w:tc>
          <w:tcPr>
            <w:tcW w:w="27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0.05%</w:t>
            </w:r>
          </w:p>
        </w:tc>
      </w:tr>
      <w:tr>
        <w:tblPrEx>
          <w:tblCellMar>
            <w:top w:w="0" w:type="dxa"/>
            <w:left w:w="108" w:type="dxa"/>
            <w:bottom w:w="0" w:type="dxa"/>
            <w:right w:w="108" w:type="dxa"/>
          </w:tblCellMar>
        </w:tblPrEx>
        <w:trPr>
          <w:trHeight w:val="280" w:hRule="atLeast"/>
        </w:trPr>
        <w:tc>
          <w:tcPr>
            <w:tcW w:w="186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440"/>
              <w:jc w:val="center"/>
              <w:rPr>
                <w:rFonts w:ascii="宋体" w:hAnsi="宋体" w:eastAsia="宋体" w:cs="宋体"/>
                <w:sz w:val="22"/>
                <w:szCs w:val="22"/>
              </w:rPr>
            </w:pPr>
          </w:p>
        </w:tc>
        <w:tc>
          <w:tcPr>
            <w:tcW w:w="2701"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2"/>
              <w:jc w:val="center"/>
              <w:textAlignment w:val="center"/>
              <w:rPr>
                <w:rFonts w:ascii="宋体" w:hAnsi="宋体" w:eastAsia="宋体" w:cs="宋体"/>
                <w:b/>
                <w:bCs/>
                <w:sz w:val="22"/>
                <w:szCs w:val="22"/>
              </w:rPr>
            </w:pPr>
            <w:r>
              <w:rPr>
                <w:rFonts w:hint="eastAsia" w:ascii="宋体" w:hAnsi="宋体" w:eastAsia="宋体" w:cs="宋体"/>
                <w:b/>
                <w:bCs/>
                <w:sz w:val="22"/>
                <w:szCs w:val="22"/>
                <w:lang w:eastAsia="zh-CN" w:bidi="ar"/>
              </w:rPr>
              <w:t>合计</w:t>
            </w:r>
          </w:p>
        </w:tc>
        <w:tc>
          <w:tcPr>
            <w:tcW w:w="1265"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99</w:t>
            </w:r>
          </w:p>
        </w:tc>
        <w:tc>
          <w:tcPr>
            <w:tcW w:w="2780"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2.27%</w:t>
            </w:r>
          </w:p>
        </w:tc>
      </w:tr>
      <w:tr>
        <w:tblPrEx>
          <w:tblCellMar>
            <w:top w:w="0" w:type="dxa"/>
            <w:left w:w="108" w:type="dxa"/>
            <w:bottom w:w="0" w:type="dxa"/>
            <w:right w:w="108" w:type="dxa"/>
          </w:tblCellMar>
        </w:tblPrEx>
        <w:trPr>
          <w:trHeight w:val="280" w:hRule="atLeast"/>
        </w:trPr>
        <w:tc>
          <w:tcPr>
            <w:tcW w:w="1863" w:type="dxa"/>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0" w:firstLineChars="0"/>
              <w:jc w:val="both"/>
              <w:textAlignment w:val="center"/>
              <w:rPr>
                <w:rFonts w:ascii="宋体" w:hAnsi="宋体" w:eastAsia="宋体" w:cs="宋体"/>
                <w:sz w:val="22"/>
                <w:szCs w:val="22"/>
              </w:rPr>
            </w:pPr>
            <w:r>
              <w:rPr>
                <w:rFonts w:hint="eastAsia" w:ascii="宋体" w:hAnsi="宋体" w:eastAsia="宋体" w:cs="宋体"/>
                <w:sz w:val="22"/>
                <w:szCs w:val="22"/>
                <w:lang w:eastAsia="zh-CN" w:bidi="ar"/>
              </w:rPr>
              <w:t>传媒与音乐学院</w:t>
            </w:r>
          </w:p>
        </w:tc>
        <w:tc>
          <w:tcPr>
            <w:tcW w:w="2701"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音乐表演</w:t>
            </w:r>
          </w:p>
        </w:tc>
        <w:tc>
          <w:tcPr>
            <w:tcW w:w="1265"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22</w:t>
            </w:r>
          </w:p>
        </w:tc>
        <w:tc>
          <w:tcPr>
            <w:tcW w:w="27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0.51%</w:t>
            </w:r>
          </w:p>
        </w:tc>
      </w:tr>
      <w:tr>
        <w:tblPrEx>
          <w:tblCellMar>
            <w:top w:w="0" w:type="dxa"/>
            <w:left w:w="108" w:type="dxa"/>
            <w:bottom w:w="0" w:type="dxa"/>
            <w:right w:w="108" w:type="dxa"/>
          </w:tblCellMar>
        </w:tblPrEx>
        <w:trPr>
          <w:trHeight w:val="280" w:hRule="atLeast"/>
        </w:trPr>
        <w:tc>
          <w:tcPr>
            <w:tcW w:w="1863" w:type="dxa"/>
            <w:vMerge w:val="restart"/>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0" w:firstLineChars="0"/>
              <w:jc w:val="both"/>
              <w:textAlignment w:val="center"/>
              <w:rPr>
                <w:rFonts w:ascii="宋体" w:hAnsi="宋体" w:eastAsia="宋体" w:cs="宋体"/>
                <w:sz w:val="22"/>
                <w:szCs w:val="22"/>
              </w:rPr>
            </w:pPr>
            <w:r>
              <w:rPr>
                <w:rFonts w:hint="eastAsia" w:ascii="宋体" w:hAnsi="宋体" w:eastAsia="宋体" w:cs="宋体"/>
                <w:sz w:val="22"/>
                <w:szCs w:val="22"/>
                <w:lang w:eastAsia="zh-CN" w:bidi="ar"/>
              </w:rPr>
              <w:t>健康科学学院</w:t>
            </w:r>
          </w:p>
        </w:tc>
        <w:tc>
          <w:tcPr>
            <w:tcW w:w="2701"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健康管理</w:t>
            </w:r>
          </w:p>
        </w:tc>
        <w:tc>
          <w:tcPr>
            <w:tcW w:w="1265"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88</w:t>
            </w:r>
          </w:p>
        </w:tc>
        <w:tc>
          <w:tcPr>
            <w:tcW w:w="2780"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2.02%</w:t>
            </w:r>
          </w:p>
        </w:tc>
      </w:tr>
      <w:tr>
        <w:tblPrEx>
          <w:tblCellMar>
            <w:top w:w="0" w:type="dxa"/>
            <w:left w:w="108" w:type="dxa"/>
            <w:bottom w:w="0" w:type="dxa"/>
            <w:right w:w="108" w:type="dxa"/>
          </w:tblCellMar>
        </w:tblPrEx>
        <w:trPr>
          <w:trHeight w:val="280" w:hRule="atLeast"/>
        </w:trPr>
        <w:tc>
          <w:tcPr>
            <w:tcW w:w="186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440"/>
              <w:jc w:val="center"/>
              <w:rPr>
                <w:rFonts w:ascii="宋体" w:hAnsi="宋体" w:eastAsia="宋体" w:cs="宋体"/>
                <w:sz w:val="22"/>
                <w:szCs w:val="22"/>
              </w:rPr>
            </w:pPr>
          </w:p>
        </w:tc>
        <w:tc>
          <w:tcPr>
            <w:tcW w:w="2701"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社区康复</w:t>
            </w:r>
          </w:p>
        </w:tc>
        <w:tc>
          <w:tcPr>
            <w:tcW w:w="1265"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34</w:t>
            </w:r>
          </w:p>
        </w:tc>
        <w:tc>
          <w:tcPr>
            <w:tcW w:w="2780" w:type="dxa"/>
            <w:tcBorders>
              <w:top w:val="single" w:color="auto" w:sz="4" w:space="0"/>
              <w:left w:val="single" w:color="auto" w:sz="4" w:space="0"/>
              <w:bottom w:val="single" w:color="auto" w:sz="4" w:space="0"/>
              <w:right w:val="single" w:color="auto" w:sz="4" w:space="0"/>
            </w:tcBorders>
            <w:shd w:val="clear" w:color="auto" w:fill="FFFF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0.78%</w:t>
            </w:r>
          </w:p>
        </w:tc>
      </w:tr>
      <w:tr>
        <w:tblPrEx>
          <w:tblCellMar>
            <w:top w:w="0" w:type="dxa"/>
            <w:left w:w="108" w:type="dxa"/>
            <w:bottom w:w="0" w:type="dxa"/>
            <w:right w:w="108" w:type="dxa"/>
          </w:tblCellMar>
        </w:tblPrEx>
        <w:trPr>
          <w:trHeight w:val="280" w:hRule="atLeast"/>
        </w:trPr>
        <w:tc>
          <w:tcPr>
            <w:tcW w:w="186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440"/>
              <w:jc w:val="center"/>
              <w:rPr>
                <w:rFonts w:ascii="宋体" w:hAnsi="宋体" w:eastAsia="宋体" w:cs="宋体"/>
                <w:sz w:val="22"/>
                <w:szCs w:val="22"/>
              </w:rPr>
            </w:pPr>
          </w:p>
        </w:tc>
        <w:tc>
          <w:tcPr>
            <w:tcW w:w="2701"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健康服务与管理</w:t>
            </w:r>
          </w:p>
        </w:tc>
        <w:tc>
          <w:tcPr>
            <w:tcW w:w="1265"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29</w:t>
            </w:r>
          </w:p>
        </w:tc>
        <w:tc>
          <w:tcPr>
            <w:tcW w:w="2780" w:type="dxa"/>
            <w:tcBorders>
              <w:top w:val="single" w:color="auto" w:sz="4" w:space="0"/>
              <w:left w:val="single" w:color="auto" w:sz="4" w:space="0"/>
              <w:bottom w:val="single" w:color="auto" w:sz="4" w:space="0"/>
              <w:right w:val="single" w:color="auto" w:sz="4" w:space="0"/>
            </w:tcBorders>
            <w:shd w:val="clear" w:color="auto" w:fill="F5FEFF"/>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0.67%</w:t>
            </w:r>
          </w:p>
        </w:tc>
      </w:tr>
      <w:tr>
        <w:tblPrEx>
          <w:tblCellMar>
            <w:top w:w="0" w:type="dxa"/>
            <w:left w:w="108" w:type="dxa"/>
            <w:bottom w:w="0" w:type="dxa"/>
            <w:right w:w="108" w:type="dxa"/>
          </w:tblCellMar>
        </w:tblPrEx>
        <w:trPr>
          <w:trHeight w:val="280" w:hRule="atLeast"/>
        </w:trPr>
        <w:tc>
          <w:tcPr>
            <w:tcW w:w="1863" w:type="dxa"/>
            <w:vMerge w:val="continue"/>
            <w:tcBorders>
              <w:top w:val="single" w:color="auto" w:sz="4" w:space="0"/>
              <w:left w:val="single" w:color="auto" w:sz="4" w:space="0"/>
              <w:bottom w:val="single" w:color="auto" w:sz="4" w:space="0"/>
              <w:right w:val="single" w:color="auto" w:sz="4" w:space="0"/>
            </w:tcBorders>
            <w:shd w:val="clear" w:color="auto" w:fill="C7DAF1" w:themeFill="text2" w:themeFillTint="32"/>
            <w:noWrap/>
            <w:vAlign w:val="center"/>
          </w:tcPr>
          <w:p>
            <w:pPr>
              <w:ind w:firstLine="440"/>
              <w:jc w:val="center"/>
              <w:rPr>
                <w:rFonts w:ascii="宋体" w:hAnsi="宋体" w:eastAsia="宋体" w:cs="宋体"/>
                <w:sz w:val="22"/>
                <w:szCs w:val="22"/>
              </w:rPr>
            </w:pPr>
          </w:p>
        </w:tc>
        <w:tc>
          <w:tcPr>
            <w:tcW w:w="2701" w:type="dxa"/>
            <w:tcBorders>
              <w:top w:val="single" w:color="auto" w:sz="4" w:space="0"/>
              <w:left w:val="single" w:color="auto" w:sz="4" w:space="0"/>
              <w:bottom w:val="single" w:color="auto" w:sz="4" w:space="0"/>
              <w:right w:val="single" w:color="auto" w:sz="4" w:space="0"/>
            </w:tcBorders>
            <w:shd w:val="clear" w:color="auto" w:fill="E2F4F7"/>
            <w:noWrap/>
            <w:vAlign w:val="center"/>
          </w:tcPr>
          <w:p>
            <w:pPr>
              <w:ind w:firstLine="442"/>
              <w:jc w:val="center"/>
              <w:textAlignment w:val="center"/>
              <w:rPr>
                <w:rFonts w:ascii="宋体" w:hAnsi="宋体" w:eastAsia="宋体" w:cs="宋体"/>
                <w:b/>
                <w:bCs/>
                <w:sz w:val="22"/>
                <w:szCs w:val="22"/>
              </w:rPr>
            </w:pPr>
            <w:r>
              <w:rPr>
                <w:rFonts w:hint="eastAsia" w:ascii="宋体" w:hAnsi="宋体" w:eastAsia="宋体" w:cs="宋体"/>
                <w:b/>
                <w:bCs/>
                <w:sz w:val="22"/>
                <w:szCs w:val="22"/>
                <w:lang w:eastAsia="zh-CN" w:bidi="ar"/>
              </w:rPr>
              <w:t>合计</w:t>
            </w:r>
          </w:p>
        </w:tc>
        <w:tc>
          <w:tcPr>
            <w:tcW w:w="1265" w:type="dxa"/>
            <w:tcBorders>
              <w:top w:val="single" w:color="auto" w:sz="4" w:space="0"/>
              <w:left w:val="single" w:color="auto" w:sz="4" w:space="0"/>
              <w:bottom w:val="single" w:color="auto" w:sz="4" w:space="0"/>
              <w:right w:val="single" w:color="auto" w:sz="4" w:space="0"/>
            </w:tcBorders>
            <w:shd w:val="clear" w:color="auto" w:fill="E2F4F7"/>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151</w:t>
            </w:r>
          </w:p>
        </w:tc>
        <w:tc>
          <w:tcPr>
            <w:tcW w:w="2780" w:type="dxa"/>
            <w:tcBorders>
              <w:top w:val="single" w:color="auto" w:sz="4" w:space="0"/>
              <w:left w:val="single" w:color="auto" w:sz="4" w:space="0"/>
              <w:bottom w:val="single" w:color="auto" w:sz="4" w:space="0"/>
              <w:right w:val="single" w:color="auto" w:sz="4" w:space="0"/>
            </w:tcBorders>
            <w:shd w:val="clear" w:color="auto" w:fill="E2F4F7"/>
            <w:noWrap/>
            <w:vAlign w:val="center"/>
          </w:tcPr>
          <w:p>
            <w:pPr>
              <w:ind w:firstLine="440"/>
              <w:jc w:val="center"/>
              <w:textAlignment w:val="center"/>
              <w:rPr>
                <w:rFonts w:ascii="宋体" w:hAnsi="宋体" w:eastAsia="宋体" w:cs="宋体"/>
                <w:sz w:val="22"/>
                <w:szCs w:val="22"/>
              </w:rPr>
            </w:pPr>
            <w:r>
              <w:rPr>
                <w:rFonts w:hint="eastAsia" w:ascii="宋体" w:hAnsi="宋体" w:eastAsia="宋体" w:cs="宋体"/>
                <w:sz w:val="22"/>
                <w:szCs w:val="22"/>
                <w:lang w:eastAsia="zh-CN" w:bidi="ar"/>
              </w:rPr>
              <w:t>3.47%</w:t>
            </w:r>
          </w:p>
        </w:tc>
      </w:tr>
    </w:tbl>
    <w:p>
      <w:pPr>
        <w:rPr>
          <w:snapToGrid/>
          <w:sz w:val="21"/>
          <w:lang w:eastAsia="zh-CN"/>
        </w:rPr>
      </w:pPr>
      <w:r>
        <w:rPr>
          <w:rFonts w:hint="eastAsia" w:ascii="仿宋" w:hAnsi="仿宋"/>
          <w:sz w:val="21"/>
          <w:lang w:eastAsia="zh-CN"/>
        </w:rPr>
        <w:t>数据来源：全国高校毕业生就业管理系统</w:t>
      </w:r>
    </w:p>
    <w:p>
      <w:pPr>
        <w:pStyle w:val="3"/>
        <w:ind w:firstLine="643"/>
        <w:rPr>
          <w:lang w:eastAsia="zh-CN"/>
        </w:rPr>
      </w:pPr>
      <w:bookmarkStart w:id="8" w:name="_Toc151887673"/>
      <w:r>
        <w:rPr>
          <w:lang w:eastAsia="zh-CN"/>
        </w:rPr>
        <w:t>（</w:t>
      </w:r>
      <w:r>
        <w:rPr>
          <w:rFonts w:hint="eastAsia"/>
          <w:lang w:eastAsia="zh-CN"/>
        </w:rPr>
        <w:t>六</w:t>
      </w:r>
      <w:r>
        <w:rPr>
          <w:lang w:eastAsia="zh-CN"/>
        </w:rPr>
        <w:t>）毕业生</w:t>
      </w:r>
      <w:r>
        <w:rPr>
          <w:rFonts w:hint="eastAsia"/>
          <w:lang w:eastAsia="zh-CN"/>
        </w:rPr>
        <w:t>特殊群体</w:t>
      </w:r>
      <w:r>
        <w:rPr>
          <w:lang w:eastAsia="zh-CN"/>
        </w:rPr>
        <w:t>分布情况</w:t>
      </w:r>
      <w:bookmarkEnd w:id="8"/>
    </w:p>
    <w:p>
      <w:pPr>
        <w:ind w:firstLine="640"/>
        <w:rPr>
          <w:lang w:eastAsia="zh-CN"/>
        </w:rPr>
      </w:pPr>
      <w:r>
        <w:rPr>
          <w:rFonts w:hint="eastAsia"/>
          <w:lang w:eastAsia="zh-CN"/>
        </w:rPr>
        <w:t>我校2022届特殊群体毕业生共计1128人，其中少数民族872人，家庭困难253人，残疾人3人。</w:t>
      </w:r>
    </w:p>
    <w:p>
      <w:pPr>
        <w:spacing w:before="92" w:line="411" w:lineRule="auto"/>
        <w:ind w:left="122" w:right="1" w:firstLine="640"/>
        <w:jc w:val="both"/>
      </w:pPr>
      <w:r>
        <w:drawing>
          <wp:inline distT="0" distB="0" distL="114300" distR="114300">
            <wp:extent cx="4826000" cy="2743200"/>
            <wp:effectExtent l="4445" t="4445" r="15875" b="1079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ind w:firstLine="3584" w:firstLineChars="1700"/>
        <w:jc w:val="both"/>
        <w:rPr>
          <w:rFonts w:eastAsia="黑体"/>
          <w:b/>
          <w:sz w:val="21"/>
          <w:lang w:eastAsia="zh-CN"/>
        </w:rPr>
      </w:pPr>
      <w:r>
        <w:rPr>
          <w:rFonts w:hint="eastAsia" w:eastAsia="黑体"/>
          <w:b/>
          <w:sz w:val="21"/>
          <w:lang w:eastAsia="zh-CN"/>
        </w:rPr>
        <w:t>图1.3毕业生生源结构</w:t>
      </w:r>
    </w:p>
    <w:p>
      <w:pPr>
        <w:rPr>
          <w:snapToGrid/>
          <w:sz w:val="21"/>
          <w:lang w:eastAsia="zh-CN"/>
        </w:rPr>
      </w:pPr>
      <w:r>
        <w:rPr>
          <w:rFonts w:hint="eastAsia" w:ascii="仿宋" w:hAnsi="仿宋"/>
          <w:sz w:val="21"/>
          <w:lang w:eastAsia="zh-CN"/>
        </w:rPr>
        <w:t>数据来源：全国高校毕业生就业管理系统</w:t>
      </w:r>
    </w:p>
    <w:p>
      <w:pPr>
        <w:ind w:firstLine="3795" w:firstLineChars="1800"/>
        <w:jc w:val="both"/>
        <w:rPr>
          <w:lang w:eastAsia="zh-CN"/>
        </w:rPr>
      </w:pPr>
      <w:r>
        <w:rPr>
          <w:rFonts w:hint="eastAsia" w:eastAsia="黑体"/>
          <w:b/>
          <w:sz w:val="21"/>
          <w:lang w:eastAsia="zh-CN"/>
        </w:rPr>
        <w:t>表1.3毕业生生源结构</w:t>
      </w:r>
    </w:p>
    <w:tbl>
      <w:tblPr>
        <w:tblStyle w:val="20"/>
        <w:tblW w:w="7352" w:type="dxa"/>
        <w:jc w:val="center"/>
        <w:tblLayout w:type="autofit"/>
        <w:tblCellMar>
          <w:top w:w="0" w:type="dxa"/>
          <w:left w:w="108" w:type="dxa"/>
          <w:bottom w:w="0" w:type="dxa"/>
          <w:right w:w="108" w:type="dxa"/>
        </w:tblCellMar>
      </w:tblPr>
      <w:tblGrid>
        <w:gridCol w:w="1091"/>
        <w:gridCol w:w="1806"/>
        <w:gridCol w:w="1818"/>
        <w:gridCol w:w="2637"/>
      </w:tblGrid>
      <w:tr>
        <w:tblPrEx>
          <w:tblCellMar>
            <w:top w:w="0" w:type="dxa"/>
            <w:left w:w="108" w:type="dxa"/>
            <w:bottom w:w="0" w:type="dxa"/>
            <w:right w:w="108" w:type="dxa"/>
          </w:tblCellMar>
        </w:tblPrEx>
        <w:trPr>
          <w:trHeight w:val="90" w:hRule="atLeast"/>
          <w:jc w:val="center"/>
        </w:trPr>
        <w:tc>
          <w:tcPr>
            <w:tcW w:w="1091"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pPr>
              <w:ind w:firstLine="0" w:firstLineChars="0"/>
              <w:jc w:val="center"/>
              <w:textAlignment w:val="center"/>
              <w:rPr>
                <w:rFonts w:ascii="微软雅黑" w:hAnsi="微软雅黑" w:eastAsia="微软雅黑" w:cs="微软雅黑"/>
                <w:b/>
                <w:bCs/>
                <w:sz w:val="22"/>
                <w:szCs w:val="22"/>
                <w:lang w:eastAsia="zh-CN" w:bidi="ar"/>
              </w:rPr>
            </w:pPr>
            <w:r>
              <w:rPr>
                <w:rFonts w:hint="eastAsia" w:ascii="微软雅黑" w:hAnsi="微软雅黑" w:eastAsia="微软雅黑" w:cs="微软雅黑"/>
                <w:b/>
                <w:bCs/>
                <w:sz w:val="22"/>
                <w:szCs w:val="22"/>
                <w:lang w:eastAsia="zh-CN" w:bidi="ar"/>
              </w:rPr>
              <w:t>序号</w:t>
            </w:r>
          </w:p>
        </w:tc>
        <w:tc>
          <w:tcPr>
            <w:tcW w:w="1806"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pPr>
              <w:ind w:firstLine="0" w:firstLineChars="0"/>
              <w:jc w:val="center"/>
              <w:textAlignment w:val="center"/>
              <w:rPr>
                <w:rFonts w:ascii="微软雅黑" w:hAnsi="微软雅黑" w:eastAsia="微软雅黑" w:cs="微软雅黑"/>
                <w:b/>
                <w:bCs/>
                <w:color w:val="FFFFFF"/>
                <w:sz w:val="22"/>
                <w:szCs w:val="22"/>
              </w:rPr>
            </w:pPr>
            <w:r>
              <w:rPr>
                <w:rFonts w:hint="eastAsia" w:ascii="微软雅黑" w:hAnsi="微软雅黑" w:eastAsia="微软雅黑" w:cs="微软雅黑"/>
                <w:b/>
                <w:bCs/>
                <w:sz w:val="22"/>
                <w:szCs w:val="22"/>
                <w:lang w:eastAsia="zh-CN" w:bidi="ar"/>
              </w:rPr>
              <w:t>民族</w:t>
            </w:r>
          </w:p>
        </w:tc>
        <w:tc>
          <w:tcPr>
            <w:tcW w:w="1818"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pPr>
              <w:ind w:firstLine="0" w:firstLineChars="0"/>
              <w:jc w:val="center"/>
              <w:textAlignment w:val="center"/>
              <w:rPr>
                <w:rFonts w:ascii="微软雅黑" w:hAnsi="微软雅黑" w:eastAsia="微软雅黑" w:cs="微软雅黑"/>
                <w:b/>
                <w:bCs/>
                <w:color w:val="FFFFFF"/>
                <w:sz w:val="22"/>
                <w:szCs w:val="22"/>
              </w:rPr>
            </w:pPr>
            <w:r>
              <w:rPr>
                <w:rFonts w:hint="eastAsia" w:ascii="微软雅黑" w:hAnsi="微软雅黑" w:eastAsia="微软雅黑" w:cs="微软雅黑"/>
                <w:b/>
                <w:bCs/>
                <w:sz w:val="22"/>
                <w:szCs w:val="22"/>
                <w:lang w:eastAsia="zh-CN" w:bidi="ar"/>
              </w:rPr>
              <w:t>人数</w:t>
            </w:r>
          </w:p>
        </w:tc>
        <w:tc>
          <w:tcPr>
            <w:tcW w:w="2637" w:type="dxa"/>
            <w:tcBorders>
              <w:top w:val="single" w:color="auto" w:sz="4" w:space="0"/>
              <w:left w:val="single" w:color="auto" w:sz="4" w:space="0"/>
              <w:bottom w:val="single" w:color="auto" w:sz="4" w:space="0"/>
              <w:right w:val="single" w:color="auto" w:sz="4" w:space="0"/>
            </w:tcBorders>
            <w:shd w:val="clear" w:color="auto" w:fill="C7DAF1" w:themeFill="text2" w:themeFillTint="32"/>
            <w:vAlign w:val="center"/>
          </w:tcPr>
          <w:p>
            <w:pPr>
              <w:ind w:firstLine="0" w:firstLineChars="0"/>
              <w:jc w:val="center"/>
              <w:textAlignment w:val="center"/>
              <w:rPr>
                <w:rFonts w:ascii="微软雅黑" w:hAnsi="微软雅黑" w:eastAsia="微软雅黑" w:cs="微软雅黑"/>
                <w:b/>
                <w:bCs/>
                <w:color w:val="FFFFFF"/>
                <w:sz w:val="22"/>
                <w:szCs w:val="22"/>
                <w:lang w:eastAsia="zh-CN"/>
              </w:rPr>
            </w:pPr>
            <w:r>
              <w:rPr>
                <w:rFonts w:hint="eastAsia" w:ascii="微软雅黑" w:hAnsi="微软雅黑" w:eastAsia="微软雅黑" w:cs="微软雅黑"/>
                <w:b/>
                <w:bCs/>
                <w:sz w:val="22"/>
                <w:szCs w:val="22"/>
                <w:lang w:eastAsia="zh-CN" w:bidi="ar"/>
              </w:rPr>
              <w:t>占少数民族毕业生比例</w:t>
            </w:r>
          </w:p>
        </w:tc>
      </w:tr>
      <w:tr>
        <w:tblPrEx>
          <w:tblCellMar>
            <w:top w:w="0" w:type="dxa"/>
            <w:left w:w="108" w:type="dxa"/>
            <w:bottom w:w="0" w:type="dxa"/>
            <w:right w:w="108" w:type="dxa"/>
          </w:tblCellMar>
        </w:tblPrEx>
        <w:trPr>
          <w:trHeight w:val="450" w:hRule="atLeast"/>
          <w:jc w:val="center"/>
        </w:trPr>
        <w:tc>
          <w:tcPr>
            <w:tcW w:w="1091" w:type="dxa"/>
            <w:tcBorders>
              <w:top w:val="single" w:color="auto" w:sz="4" w:space="0"/>
              <w:left w:val="single" w:color="auto" w:sz="4" w:space="0"/>
              <w:bottom w:val="single" w:color="auto" w:sz="4" w:space="0"/>
              <w:right w:val="single" w:color="auto" w:sz="4" w:space="0"/>
            </w:tcBorders>
            <w:shd w:val="clear" w:color="auto" w:fill="F2F2F2"/>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1</w:t>
            </w:r>
          </w:p>
        </w:tc>
        <w:tc>
          <w:tcPr>
            <w:tcW w:w="1806" w:type="dxa"/>
            <w:tcBorders>
              <w:top w:val="single" w:color="auto" w:sz="4" w:space="0"/>
              <w:left w:val="single" w:color="auto" w:sz="4" w:space="0"/>
              <w:bottom w:val="single" w:color="auto" w:sz="4" w:space="0"/>
              <w:right w:val="single" w:color="auto" w:sz="4" w:space="0"/>
            </w:tcBorders>
            <w:shd w:val="clear" w:color="auto" w:fill="F2F2F2"/>
            <w:vAlign w:val="center"/>
          </w:tcPr>
          <w:p>
            <w:pPr>
              <w:ind w:firstLine="400"/>
              <w:jc w:val="both"/>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黎族</w:t>
            </w:r>
          </w:p>
        </w:tc>
        <w:tc>
          <w:tcPr>
            <w:tcW w:w="1818" w:type="dxa"/>
            <w:tcBorders>
              <w:top w:val="single" w:color="auto" w:sz="4" w:space="0"/>
              <w:left w:val="single" w:color="auto" w:sz="4" w:space="0"/>
              <w:bottom w:val="single" w:color="auto" w:sz="4" w:space="0"/>
              <w:right w:val="single" w:color="auto" w:sz="4" w:space="0"/>
            </w:tcBorders>
            <w:shd w:val="clear" w:color="auto" w:fill="F2F2F2"/>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619</w:t>
            </w:r>
          </w:p>
        </w:tc>
        <w:tc>
          <w:tcPr>
            <w:tcW w:w="2637" w:type="dxa"/>
            <w:tcBorders>
              <w:top w:val="single" w:color="auto" w:sz="4" w:space="0"/>
              <w:left w:val="single" w:color="auto" w:sz="4" w:space="0"/>
              <w:bottom w:val="single" w:color="auto" w:sz="4" w:space="0"/>
              <w:right w:val="single" w:color="auto" w:sz="4" w:space="0"/>
            </w:tcBorders>
            <w:shd w:val="clear" w:color="auto" w:fill="F2F2F2"/>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75.21%</w:t>
            </w:r>
          </w:p>
        </w:tc>
      </w:tr>
      <w:tr>
        <w:tblPrEx>
          <w:tblCellMar>
            <w:top w:w="0" w:type="dxa"/>
            <w:left w:w="108" w:type="dxa"/>
            <w:bottom w:w="0" w:type="dxa"/>
            <w:right w:w="108" w:type="dxa"/>
          </w:tblCellMar>
        </w:tblPrEx>
        <w:trPr>
          <w:trHeight w:val="450" w:hRule="atLeast"/>
          <w:jc w:val="center"/>
        </w:trPr>
        <w:tc>
          <w:tcPr>
            <w:tcW w:w="1091"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2</w:t>
            </w:r>
          </w:p>
        </w:tc>
        <w:tc>
          <w:tcPr>
            <w:tcW w:w="1806"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both"/>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壮族</w:t>
            </w:r>
          </w:p>
        </w:tc>
        <w:tc>
          <w:tcPr>
            <w:tcW w:w="1818"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68</w:t>
            </w:r>
          </w:p>
        </w:tc>
        <w:tc>
          <w:tcPr>
            <w:tcW w:w="2637"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8.26%</w:t>
            </w:r>
          </w:p>
        </w:tc>
      </w:tr>
      <w:tr>
        <w:tblPrEx>
          <w:tblCellMar>
            <w:top w:w="0" w:type="dxa"/>
            <w:left w:w="108" w:type="dxa"/>
            <w:bottom w:w="0" w:type="dxa"/>
            <w:right w:w="108" w:type="dxa"/>
          </w:tblCellMar>
        </w:tblPrEx>
        <w:trPr>
          <w:trHeight w:val="450" w:hRule="atLeast"/>
          <w:jc w:val="center"/>
        </w:trPr>
        <w:tc>
          <w:tcPr>
            <w:tcW w:w="1091"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3</w:t>
            </w:r>
          </w:p>
        </w:tc>
        <w:tc>
          <w:tcPr>
            <w:tcW w:w="1806"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both"/>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布依族</w:t>
            </w:r>
          </w:p>
        </w:tc>
        <w:tc>
          <w:tcPr>
            <w:tcW w:w="1818"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13</w:t>
            </w:r>
          </w:p>
        </w:tc>
        <w:tc>
          <w:tcPr>
            <w:tcW w:w="2637"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1.58%</w:t>
            </w:r>
          </w:p>
        </w:tc>
      </w:tr>
      <w:tr>
        <w:tblPrEx>
          <w:tblCellMar>
            <w:top w:w="0" w:type="dxa"/>
            <w:left w:w="108" w:type="dxa"/>
            <w:bottom w:w="0" w:type="dxa"/>
            <w:right w:w="108" w:type="dxa"/>
          </w:tblCellMar>
        </w:tblPrEx>
        <w:trPr>
          <w:trHeight w:val="450" w:hRule="atLeast"/>
          <w:jc w:val="center"/>
        </w:trPr>
        <w:tc>
          <w:tcPr>
            <w:tcW w:w="1091" w:type="dxa"/>
            <w:tcBorders>
              <w:top w:val="single" w:color="auto" w:sz="4" w:space="0"/>
              <w:left w:val="single" w:color="auto" w:sz="4" w:space="0"/>
              <w:bottom w:val="single" w:color="auto" w:sz="4" w:space="0"/>
              <w:right w:val="single" w:color="auto" w:sz="4" w:space="0"/>
            </w:tcBorders>
            <w:shd w:val="clear" w:color="auto" w:fill="F2F2F2"/>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4</w:t>
            </w:r>
          </w:p>
        </w:tc>
        <w:tc>
          <w:tcPr>
            <w:tcW w:w="1806" w:type="dxa"/>
            <w:tcBorders>
              <w:top w:val="single" w:color="auto" w:sz="4" w:space="0"/>
              <w:left w:val="single" w:color="auto" w:sz="4" w:space="0"/>
              <w:bottom w:val="single" w:color="auto" w:sz="4" w:space="0"/>
              <w:right w:val="single" w:color="auto" w:sz="4" w:space="0"/>
            </w:tcBorders>
            <w:shd w:val="clear" w:color="auto" w:fill="F2F2F2"/>
            <w:vAlign w:val="center"/>
          </w:tcPr>
          <w:p>
            <w:pPr>
              <w:ind w:firstLine="400"/>
              <w:jc w:val="both"/>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彝族</w:t>
            </w:r>
          </w:p>
        </w:tc>
        <w:tc>
          <w:tcPr>
            <w:tcW w:w="1818" w:type="dxa"/>
            <w:tcBorders>
              <w:top w:val="single" w:color="auto" w:sz="4" w:space="0"/>
              <w:left w:val="single" w:color="auto" w:sz="4" w:space="0"/>
              <w:bottom w:val="single" w:color="auto" w:sz="4" w:space="0"/>
              <w:right w:val="single" w:color="auto" w:sz="4" w:space="0"/>
            </w:tcBorders>
            <w:shd w:val="clear" w:color="auto" w:fill="F2F2F2"/>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12</w:t>
            </w:r>
          </w:p>
        </w:tc>
        <w:tc>
          <w:tcPr>
            <w:tcW w:w="2637" w:type="dxa"/>
            <w:tcBorders>
              <w:top w:val="single" w:color="auto" w:sz="4" w:space="0"/>
              <w:left w:val="single" w:color="auto" w:sz="4" w:space="0"/>
              <w:bottom w:val="single" w:color="auto" w:sz="4" w:space="0"/>
              <w:right w:val="single" w:color="auto" w:sz="4" w:space="0"/>
            </w:tcBorders>
            <w:shd w:val="clear" w:color="auto" w:fill="F2F2F2"/>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1.46%</w:t>
            </w:r>
          </w:p>
        </w:tc>
      </w:tr>
      <w:tr>
        <w:tblPrEx>
          <w:tblCellMar>
            <w:top w:w="0" w:type="dxa"/>
            <w:left w:w="108" w:type="dxa"/>
            <w:bottom w:w="0" w:type="dxa"/>
            <w:right w:w="108" w:type="dxa"/>
          </w:tblCellMar>
        </w:tblPrEx>
        <w:trPr>
          <w:trHeight w:val="450" w:hRule="atLeast"/>
          <w:jc w:val="center"/>
        </w:trPr>
        <w:tc>
          <w:tcPr>
            <w:tcW w:w="1091"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5</w:t>
            </w:r>
          </w:p>
        </w:tc>
        <w:tc>
          <w:tcPr>
            <w:tcW w:w="1806"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both"/>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土家族</w:t>
            </w:r>
          </w:p>
        </w:tc>
        <w:tc>
          <w:tcPr>
            <w:tcW w:w="1818"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11</w:t>
            </w:r>
          </w:p>
        </w:tc>
        <w:tc>
          <w:tcPr>
            <w:tcW w:w="2637"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1.34%</w:t>
            </w:r>
          </w:p>
        </w:tc>
      </w:tr>
      <w:tr>
        <w:tblPrEx>
          <w:tblCellMar>
            <w:top w:w="0" w:type="dxa"/>
            <w:left w:w="108" w:type="dxa"/>
            <w:bottom w:w="0" w:type="dxa"/>
            <w:right w:w="108" w:type="dxa"/>
          </w:tblCellMar>
        </w:tblPrEx>
        <w:trPr>
          <w:trHeight w:val="450" w:hRule="atLeast"/>
          <w:jc w:val="center"/>
        </w:trPr>
        <w:tc>
          <w:tcPr>
            <w:tcW w:w="1091" w:type="dxa"/>
            <w:tcBorders>
              <w:top w:val="single" w:color="auto" w:sz="4" w:space="0"/>
              <w:left w:val="single" w:color="auto" w:sz="4" w:space="0"/>
              <w:bottom w:val="single" w:color="auto" w:sz="4" w:space="0"/>
              <w:right w:val="single" w:color="auto" w:sz="4" w:space="0"/>
            </w:tcBorders>
            <w:shd w:val="clear" w:color="auto" w:fill="F2F2F2"/>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6</w:t>
            </w:r>
          </w:p>
        </w:tc>
        <w:tc>
          <w:tcPr>
            <w:tcW w:w="1806" w:type="dxa"/>
            <w:tcBorders>
              <w:top w:val="single" w:color="auto" w:sz="4" w:space="0"/>
              <w:left w:val="single" w:color="auto" w:sz="4" w:space="0"/>
              <w:bottom w:val="single" w:color="auto" w:sz="4" w:space="0"/>
              <w:right w:val="single" w:color="auto" w:sz="4" w:space="0"/>
            </w:tcBorders>
            <w:shd w:val="clear" w:color="auto" w:fill="F2F2F2"/>
            <w:vAlign w:val="center"/>
          </w:tcPr>
          <w:p>
            <w:pPr>
              <w:ind w:firstLine="400"/>
              <w:jc w:val="both"/>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其他</w:t>
            </w:r>
          </w:p>
        </w:tc>
        <w:tc>
          <w:tcPr>
            <w:tcW w:w="1818" w:type="dxa"/>
            <w:tcBorders>
              <w:top w:val="single" w:color="auto" w:sz="4" w:space="0"/>
              <w:left w:val="single" w:color="auto" w:sz="4" w:space="0"/>
              <w:bottom w:val="single" w:color="auto" w:sz="4" w:space="0"/>
              <w:right w:val="single" w:color="auto" w:sz="4" w:space="0"/>
            </w:tcBorders>
            <w:shd w:val="clear" w:color="auto" w:fill="F2F2F2"/>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8</w:t>
            </w:r>
          </w:p>
        </w:tc>
        <w:tc>
          <w:tcPr>
            <w:tcW w:w="2637" w:type="dxa"/>
            <w:tcBorders>
              <w:top w:val="single" w:color="auto" w:sz="4" w:space="0"/>
              <w:left w:val="single" w:color="auto" w:sz="4" w:space="0"/>
              <w:bottom w:val="single" w:color="auto" w:sz="4" w:space="0"/>
              <w:right w:val="single" w:color="auto" w:sz="4" w:space="0"/>
            </w:tcBorders>
            <w:shd w:val="clear" w:color="auto" w:fill="F2F2F2"/>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0.97%</w:t>
            </w:r>
          </w:p>
        </w:tc>
      </w:tr>
      <w:tr>
        <w:tblPrEx>
          <w:tblCellMar>
            <w:top w:w="0" w:type="dxa"/>
            <w:left w:w="108" w:type="dxa"/>
            <w:bottom w:w="0" w:type="dxa"/>
            <w:right w:w="108" w:type="dxa"/>
          </w:tblCellMar>
        </w:tblPrEx>
        <w:trPr>
          <w:trHeight w:val="450" w:hRule="atLeast"/>
          <w:jc w:val="center"/>
        </w:trPr>
        <w:tc>
          <w:tcPr>
            <w:tcW w:w="1091"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7</w:t>
            </w:r>
          </w:p>
        </w:tc>
        <w:tc>
          <w:tcPr>
            <w:tcW w:w="1806"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both"/>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回族</w:t>
            </w:r>
          </w:p>
        </w:tc>
        <w:tc>
          <w:tcPr>
            <w:tcW w:w="1818"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7</w:t>
            </w:r>
          </w:p>
        </w:tc>
        <w:tc>
          <w:tcPr>
            <w:tcW w:w="2637"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0.85%</w:t>
            </w:r>
          </w:p>
        </w:tc>
      </w:tr>
      <w:tr>
        <w:tblPrEx>
          <w:tblCellMar>
            <w:top w:w="0" w:type="dxa"/>
            <w:left w:w="108" w:type="dxa"/>
            <w:bottom w:w="0" w:type="dxa"/>
            <w:right w:w="108" w:type="dxa"/>
          </w:tblCellMar>
        </w:tblPrEx>
        <w:trPr>
          <w:trHeight w:val="450" w:hRule="atLeast"/>
          <w:jc w:val="center"/>
        </w:trPr>
        <w:tc>
          <w:tcPr>
            <w:tcW w:w="1091" w:type="dxa"/>
            <w:tcBorders>
              <w:top w:val="single" w:color="auto" w:sz="4" w:space="0"/>
              <w:left w:val="single" w:color="auto" w:sz="4" w:space="0"/>
              <w:bottom w:val="single" w:color="auto" w:sz="4" w:space="0"/>
              <w:right w:val="single" w:color="auto" w:sz="4" w:space="0"/>
            </w:tcBorders>
            <w:shd w:val="clear" w:color="auto" w:fill="F2F2F2"/>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8</w:t>
            </w:r>
          </w:p>
        </w:tc>
        <w:tc>
          <w:tcPr>
            <w:tcW w:w="1806" w:type="dxa"/>
            <w:tcBorders>
              <w:top w:val="single" w:color="auto" w:sz="4" w:space="0"/>
              <w:left w:val="single" w:color="auto" w:sz="4" w:space="0"/>
              <w:bottom w:val="single" w:color="auto" w:sz="4" w:space="0"/>
              <w:right w:val="single" w:color="auto" w:sz="4" w:space="0"/>
            </w:tcBorders>
            <w:shd w:val="clear" w:color="auto" w:fill="F2F2F2"/>
            <w:vAlign w:val="center"/>
          </w:tcPr>
          <w:p>
            <w:pPr>
              <w:ind w:firstLine="400"/>
              <w:jc w:val="both"/>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瑶族</w:t>
            </w:r>
          </w:p>
        </w:tc>
        <w:tc>
          <w:tcPr>
            <w:tcW w:w="1818" w:type="dxa"/>
            <w:tcBorders>
              <w:top w:val="single" w:color="auto" w:sz="4" w:space="0"/>
              <w:left w:val="single" w:color="auto" w:sz="4" w:space="0"/>
              <w:bottom w:val="single" w:color="auto" w:sz="4" w:space="0"/>
              <w:right w:val="single" w:color="auto" w:sz="4" w:space="0"/>
            </w:tcBorders>
            <w:shd w:val="clear" w:color="auto" w:fill="F2F2F2"/>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6</w:t>
            </w:r>
          </w:p>
        </w:tc>
        <w:tc>
          <w:tcPr>
            <w:tcW w:w="2637" w:type="dxa"/>
            <w:tcBorders>
              <w:top w:val="single" w:color="auto" w:sz="4" w:space="0"/>
              <w:left w:val="single" w:color="auto" w:sz="4" w:space="0"/>
              <w:bottom w:val="single" w:color="auto" w:sz="4" w:space="0"/>
              <w:right w:val="single" w:color="auto" w:sz="4" w:space="0"/>
            </w:tcBorders>
            <w:shd w:val="clear" w:color="auto" w:fill="F2F2F2"/>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0.73%</w:t>
            </w:r>
          </w:p>
        </w:tc>
      </w:tr>
      <w:tr>
        <w:tblPrEx>
          <w:tblCellMar>
            <w:top w:w="0" w:type="dxa"/>
            <w:left w:w="108" w:type="dxa"/>
            <w:bottom w:w="0" w:type="dxa"/>
            <w:right w:w="108" w:type="dxa"/>
          </w:tblCellMar>
        </w:tblPrEx>
        <w:trPr>
          <w:trHeight w:val="450" w:hRule="atLeast"/>
          <w:jc w:val="center"/>
        </w:trPr>
        <w:tc>
          <w:tcPr>
            <w:tcW w:w="1091"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9</w:t>
            </w:r>
          </w:p>
        </w:tc>
        <w:tc>
          <w:tcPr>
            <w:tcW w:w="1806"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both"/>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仡佬族</w:t>
            </w:r>
          </w:p>
        </w:tc>
        <w:tc>
          <w:tcPr>
            <w:tcW w:w="1818"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6</w:t>
            </w:r>
          </w:p>
        </w:tc>
        <w:tc>
          <w:tcPr>
            <w:tcW w:w="2637"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0.73%</w:t>
            </w:r>
          </w:p>
        </w:tc>
      </w:tr>
      <w:tr>
        <w:tblPrEx>
          <w:tblCellMar>
            <w:top w:w="0" w:type="dxa"/>
            <w:left w:w="108" w:type="dxa"/>
            <w:bottom w:w="0" w:type="dxa"/>
            <w:right w:w="108" w:type="dxa"/>
          </w:tblCellMar>
        </w:tblPrEx>
        <w:trPr>
          <w:trHeight w:val="450" w:hRule="atLeast"/>
          <w:jc w:val="center"/>
        </w:trPr>
        <w:tc>
          <w:tcPr>
            <w:tcW w:w="1091" w:type="dxa"/>
            <w:tcBorders>
              <w:top w:val="single" w:color="auto" w:sz="4" w:space="0"/>
              <w:left w:val="single" w:color="auto" w:sz="4" w:space="0"/>
              <w:bottom w:val="single" w:color="auto" w:sz="4" w:space="0"/>
              <w:right w:val="single" w:color="auto" w:sz="4" w:space="0"/>
            </w:tcBorders>
            <w:shd w:val="clear" w:color="auto" w:fill="F2F2F2"/>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10</w:t>
            </w:r>
          </w:p>
        </w:tc>
        <w:tc>
          <w:tcPr>
            <w:tcW w:w="1806" w:type="dxa"/>
            <w:tcBorders>
              <w:top w:val="single" w:color="auto" w:sz="4" w:space="0"/>
              <w:left w:val="single" w:color="auto" w:sz="4" w:space="0"/>
              <w:bottom w:val="single" w:color="auto" w:sz="4" w:space="0"/>
              <w:right w:val="single" w:color="auto" w:sz="4" w:space="0"/>
            </w:tcBorders>
            <w:shd w:val="clear" w:color="auto" w:fill="F2F2F2"/>
            <w:vAlign w:val="center"/>
          </w:tcPr>
          <w:p>
            <w:pPr>
              <w:ind w:firstLine="400"/>
              <w:jc w:val="both"/>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满族</w:t>
            </w:r>
          </w:p>
        </w:tc>
        <w:tc>
          <w:tcPr>
            <w:tcW w:w="1818" w:type="dxa"/>
            <w:tcBorders>
              <w:top w:val="single" w:color="auto" w:sz="4" w:space="0"/>
              <w:left w:val="single" w:color="auto" w:sz="4" w:space="0"/>
              <w:bottom w:val="single" w:color="auto" w:sz="4" w:space="0"/>
              <w:right w:val="single" w:color="auto" w:sz="4" w:space="0"/>
            </w:tcBorders>
            <w:shd w:val="clear" w:color="auto" w:fill="F2F2F2"/>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5</w:t>
            </w:r>
          </w:p>
        </w:tc>
        <w:tc>
          <w:tcPr>
            <w:tcW w:w="2637" w:type="dxa"/>
            <w:tcBorders>
              <w:top w:val="single" w:color="auto" w:sz="4" w:space="0"/>
              <w:left w:val="single" w:color="auto" w:sz="4" w:space="0"/>
              <w:bottom w:val="single" w:color="auto" w:sz="4" w:space="0"/>
              <w:right w:val="single" w:color="auto" w:sz="4" w:space="0"/>
            </w:tcBorders>
            <w:shd w:val="clear" w:color="auto" w:fill="F2F2F2"/>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0.61%</w:t>
            </w:r>
          </w:p>
        </w:tc>
      </w:tr>
      <w:tr>
        <w:tblPrEx>
          <w:tblCellMar>
            <w:top w:w="0" w:type="dxa"/>
            <w:left w:w="108" w:type="dxa"/>
            <w:bottom w:w="0" w:type="dxa"/>
            <w:right w:w="108" w:type="dxa"/>
          </w:tblCellMar>
        </w:tblPrEx>
        <w:trPr>
          <w:trHeight w:val="450" w:hRule="atLeast"/>
          <w:jc w:val="center"/>
        </w:trPr>
        <w:tc>
          <w:tcPr>
            <w:tcW w:w="1091"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11</w:t>
            </w:r>
          </w:p>
        </w:tc>
        <w:tc>
          <w:tcPr>
            <w:tcW w:w="1806"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both"/>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侗族</w:t>
            </w:r>
          </w:p>
        </w:tc>
        <w:tc>
          <w:tcPr>
            <w:tcW w:w="1818"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4</w:t>
            </w:r>
          </w:p>
        </w:tc>
        <w:tc>
          <w:tcPr>
            <w:tcW w:w="2637"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0.49%</w:t>
            </w:r>
          </w:p>
        </w:tc>
      </w:tr>
      <w:tr>
        <w:tblPrEx>
          <w:tblCellMar>
            <w:top w:w="0" w:type="dxa"/>
            <w:left w:w="108" w:type="dxa"/>
            <w:bottom w:w="0" w:type="dxa"/>
            <w:right w:w="108" w:type="dxa"/>
          </w:tblCellMar>
        </w:tblPrEx>
        <w:trPr>
          <w:trHeight w:val="450" w:hRule="atLeast"/>
          <w:jc w:val="center"/>
        </w:trPr>
        <w:tc>
          <w:tcPr>
            <w:tcW w:w="1091" w:type="dxa"/>
            <w:tcBorders>
              <w:top w:val="single" w:color="auto" w:sz="4" w:space="0"/>
              <w:left w:val="single" w:color="auto" w:sz="4" w:space="0"/>
              <w:bottom w:val="single" w:color="auto" w:sz="4" w:space="0"/>
              <w:right w:val="single" w:color="auto" w:sz="4" w:space="0"/>
            </w:tcBorders>
            <w:shd w:val="clear" w:color="auto" w:fill="F2F2F2"/>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12</w:t>
            </w:r>
          </w:p>
        </w:tc>
        <w:tc>
          <w:tcPr>
            <w:tcW w:w="1806" w:type="dxa"/>
            <w:tcBorders>
              <w:top w:val="single" w:color="auto" w:sz="4" w:space="0"/>
              <w:left w:val="single" w:color="auto" w:sz="4" w:space="0"/>
              <w:bottom w:val="single" w:color="auto" w:sz="4" w:space="0"/>
              <w:right w:val="single" w:color="auto" w:sz="4" w:space="0"/>
            </w:tcBorders>
            <w:shd w:val="clear" w:color="auto" w:fill="F2F2F2"/>
            <w:vAlign w:val="center"/>
          </w:tcPr>
          <w:p>
            <w:pPr>
              <w:ind w:firstLine="400"/>
              <w:jc w:val="both"/>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白族</w:t>
            </w:r>
          </w:p>
        </w:tc>
        <w:tc>
          <w:tcPr>
            <w:tcW w:w="1818" w:type="dxa"/>
            <w:tcBorders>
              <w:top w:val="single" w:color="auto" w:sz="4" w:space="0"/>
              <w:left w:val="single" w:color="auto" w:sz="4" w:space="0"/>
              <w:bottom w:val="single" w:color="auto" w:sz="4" w:space="0"/>
              <w:right w:val="single" w:color="auto" w:sz="4" w:space="0"/>
            </w:tcBorders>
            <w:shd w:val="clear" w:color="auto" w:fill="F2F2F2"/>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4</w:t>
            </w:r>
          </w:p>
        </w:tc>
        <w:tc>
          <w:tcPr>
            <w:tcW w:w="2637" w:type="dxa"/>
            <w:tcBorders>
              <w:top w:val="single" w:color="auto" w:sz="4" w:space="0"/>
              <w:left w:val="single" w:color="auto" w:sz="4" w:space="0"/>
              <w:bottom w:val="single" w:color="auto" w:sz="4" w:space="0"/>
              <w:right w:val="single" w:color="auto" w:sz="4" w:space="0"/>
            </w:tcBorders>
            <w:shd w:val="clear" w:color="auto" w:fill="F2F2F2"/>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0.49%</w:t>
            </w:r>
          </w:p>
        </w:tc>
      </w:tr>
      <w:tr>
        <w:tblPrEx>
          <w:tblCellMar>
            <w:top w:w="0" w:type="dxa"/>
            <w:left w:w="108" w:type="dxa"/>
            <w:bottom w:w="0" w:type="dxa"/>
            <w:right w:w="108" w:type="dxa"/>
          </w:tblCellMar>
        </w:tblPrEx>
        <w:trPr>
          <w:trHeight w:val="450" w:hRule="atLeast"/>
          <w:jc w:val="center"/>
        </w:trPr>
        <w:tc>
          <w:tcPr>
            <w:tcW w:w="1091"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13</w:t>
            </w:r>
          </w:p>
        </w:tc>
        <w:tc>
          <w:tcPr>
            <w:tcW w:w="1806"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both"/>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蒙古族</w:t>
            </w:r>
          </w:p>
        </w:tc>
        <w:tc>
          <w:tcPr>
            <w:tcW w:w="1818"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3</w:t>
            </w:r>
          </w:p>
        </w:tc>
        <w:tc>
          <w:tcPr>
            <w:tcW w:w="2637"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0.36%</w:t>
            </w:r>
          </w:p>
        </w:tc>
      </w:tr>
      <w:tr>
        <w:tblPrEx>
          <w:tblCellMar>
            <w:top w:w="0" w:type="dxa"/>
            <w:left w:w="108" w:type="dxa"/>
            <w:bottom w:w="0" w:type="dxa"/>
            <w:right w:w="108" w:type="dxa"/>
          </w:tblCellMar>
        </w:tblPrEx>
        <w:trPr>
          <w:trHeight w:val="450" w:hRule="atLeast"/>
          <w:jc w:val="center"/>
        </w:trPr>
        <w:tc>
          <w:tcPr>
            <w:tcW w:w="1091" w:type="dxa"/>
            <w:tcBorders>
              <w:top w:val="single" w:color="auto" w:sz="4" w:space="0"/>
              <w:left w:val="single" w:color="auto" w:sz="4" w:space="0"/>
              <w:bottom w:val="single" w:color="auto" w:sz="4" w:space="0"/>
              <w:right w:val="single" w:color="auto" w:sz="4" w:space="0"/>
            </w:tcBorders>
            <w:shd w:val="clear" w:color="auto" w:fill="F2F2F2"/>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14</w:t>
            </w:r>
          </w:p>
        </w:tc>
        <w:tc>
          <w:tcPr>
            <w:tcW w:w="1806" w:type="dxa"/>
            <w:tcBorders>
              <w:top w:val="single" w:color="auto" w:sz="4" w:space="0"/>
              <w:left w:val="single" w:color="auto" w:sz="4" w:space="0"/>
              <w:bottom w:val="single" w:color="auto" w:sz="4" w:space="0"/>
              <w:right w:val="single" w:color="auto" w:sz="4" w:space="0"/>
            </w:tcBorders>
            <w:shd w:val="clear" w:color="auto" w:fill="F2F2F2"/>
            <w:vAlign w:val="center"/>
          </w:tcPr>
          <w:p>
            <w:pPr>
              <w:ind w:firstLine="400"/>
              <w:jc w:val="both"/>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畲族</w:t>
            </w:r>
          </w:p>
        </w:tc>
        <w:tc>
          <w:tcPr>
            <w:tcW w:w="1818" w:type="dxa"/>
            <w:tcBorders>
              <w:top w:val="single" w:color="auto" w:sz="4" w:space="0"/>
              <w:left w:val="single" w:color="auto" w:sz="4" w:space="0"/>
              <w:bottom w:val="single" w:color="auto" w:sz="4" w:space="0"/>
              <w:right w:val="single" w:color="auto" w:sz="4" w:space="0"/>
            </w:tcBorders>
            <w:shd w:val="clear" w:color="auto" w:fill="F2F2F2"/>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3</w:t>
            </w:r>
          </w:p>
        </w:tc>
        <w:tc>
          <w:tcPr>
            <w:tcW w:w="2637" w:type="dxa"/>
            <w:tcBorders>
              <w:top w:val="single" w:color="auto" w:sz="4" w:space="0"/>
              <w:left w:val="single" w:color="auto" w:sz="4" w:space="0"/>
              <w:bottom w:val="single" w:color="auto" w:sz="4" w:space="0"/>
              <w:right w:val="single" w:color="auto" w:sz="4" w:space="0"/>
            </w:tcBorders>
            <w:shd w:val="clear" w:color="auto" w:fill="F2F2F2"/>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0.36%</w:t>
            </w:r>
          </w:p>
        </w:tc>
      </w:tr>
      <w:tr>
        <w:tblPrEx>
          <w:tblCellMar>
            <w:top w:w="0" w:type="dxa"/>
            <w:left w:w="108" w:type="dxa"/>
            <w:bottom w:w="0" w:type="dxa"/>
            <w:right w:w="108" w:type="dxa"/>
          </w:tblCellMar>
        </w:tblPrEx>
        <w:trPr>
          <w:trHeight w:val="450" w:hRule="atLeast"/>
          <w:jc w:val="center"/>
        </w:trPr>
        <w:tc>
          <w:tcPr>
            <w:tcW w:w="1091"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15</w:t>
            </w:r>
          </w:p>
        </w:tc>
        <w:tc>
          <w:tcPr>
            <w:tcW w:w="1806"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both"/>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水族</w:t>
            </w:r>
          </w:p>
        </w:tc>
        <w:tc>
          <w:tcPr>
            <w:tcW w:w="1818"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3</w:t>
            </w:r>
          </w:p>
        </w:tc>
        <w:tc>
          <w:tcPr>
            <w:tcW w:w="2637"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0.36%</w:t>
            </w:r>
          </w:p>
        </w:tc>
      </w:tr>
      <w:tr>
        <w:tblPrEx>
          <w:tblCellMar>
            <w:top w:w="0" w:type="dxa"/>
            <w:left w:w="108" w:type="dxa"/>
            <w:bottom w:w="0" w:type="dxa"/>
            <w:right w:w="108" w:type="dxa"/>
          </w:tblCellMar>
        </w:tblPrEx>
        <w:trPr>
          <w:trHeight w:val="450" w:hRule="atLeast"/>
          <w:jc w:val="center"/>
        </w:trPr>
        <w:tc>
          <w:tcPr>
            <w:tcW w:w="1091" w:type="dxa"/>
            <w:tcBorders>
              <w:top w:val="single" w:color="auto" w:sz="4" w:space="0"/>
              <w:left w:val="single" w:color="auto" w:sz="4" w:space="0"/>
              <w:bottom w:val="single" w:color="auto" w:sz="4" w:space="0"/>
              <w:right w:val="single" w:color="auto" w:sz="4" w:space="0"/>
            </w:tcBorders>
            <w:shd w:val="clear" w:color="auto" w:fill="F2F2F2"/>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16</w:t>
            </w:r>
          </w:p>
        </w:tc>
        <w:tc>
          <w:tcPr>
            <w:tcW w:w="1806" w:type="dxa"/>
            <w:tcBorders>
              <w:top w:val="single" w:color="auto" w:sz="4" w:space="0"/>
              <w:left w:val="single" w:color="auto" w:sz="4" w:space="0"/>
              <w:bottom w:val="single" w:color="auto" w:sz="4" w:space="0"/>
              <w:right w:val="single" w:color="auto" w:sz="4" w:space="0"/>
            </w:tcBorders>
            <w:shd w:val="clear" w:color="auto" w:fill="F2F2F2"/>
            <w:vAlign w:val="center"/>
          </w:tcPr>
          <w:p>
            <w:pPr>
              <w:ind w:firstLine="400"/>
              <w:jc w:val="both"/>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藏族</w:t>
            </w:r>
          </w:p>
        </w:tc>
        <w:tc>
          <w:tcPr>
            <w:tcW w:w="1818" w:type="dxa"/>
            <w:tcBorders>
              <w:top w:val="single" w:color="auto" w:sz="4" w:space="0"/>
              <w:left w:val="single" w:color="auto" w:sz="4" w:space="0"/>
              <w:bottom w:val="single" w:color="auto" w:sz="4" w:space="0"/>
              <w:right w:val="single" w:color="auto" w:sz="4" w:space="0"/>
            </w:tcBorders>
            <w:shd w:val="clear" w:color="auto" w:fill="F2F2F2"/>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2</w:t>
            </w:r>
          </w:p>
        </w:tc>
        <w:tc>
          <w:tcPr>
            <w:tcW w:w="2637" w:type="dxa"/>
            <w:tcBorders>
              <w:top w:val="single" w:color="auto" w:sz="4" w:space="0"/>
              <w:left w:val="single" w:color="auto" w:sz="4" w:space="0"/>
              <w:bottom w:val="single" w:color="auto" w:sz="4" w:space="0"/>
              <w:right w:val="single" w:color="auto" w:sz="4" w:space="0"/>
            </w:tcBorders>
            <w:shd w:val="clear" w:color="auto" w:fill="F2F2F2"/>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0.24%</w:t>
            </w:r>
          </w:p>
        </w:tc>
      </w:tr>
      <w:tr>
        <w:tblPrEx>
          <w:tblCellMar>
            <w:top w:w="0" w:type="dxa"/>
            <w:left w:w="108" w:type="dxa"/>
            <w:bottom w:w="0" w:type="dxa"/>
            <w:right w:w="108" w:type="dxa"/>
          </w:tblCellMar>
        </w:tblPrEx>
        <w:trPr>
          <w:trHeight w:val="450" w:hRule="atLeast"/>
          <w:jc w:val="center"/>
        </w:trPr>
        <w:tc>
          <w:tcPr>
            <w:tcW w:w="1091"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17</w:t>
            </w:r>
          </w:p>
        </w:tc>
        <w:tc>
          <w:tcPr>
            <w:tcW w:w="1806"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both"/>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西族</w:t>
            </w:r>
          </w:p>
        </w:tc>
        <w:tc>
          <w:tcPr>
            <w:tcW w:w="1818"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2</w:t>
            </w:r>
          </w:p>
        </w:tc>
        <w:tc>
          <w:tcPr>
            <w:tcW w:w="2637"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0.24%</w:t>
            </w:r>
          </w:p>
        </w:tc>
      </w:tr>
      <w:tr>
        <w:tblPrEx>
          <w:tblCellMar>
            <w:top w:w="0" w:type="dxa"/>
            <w:left w:w="108" w:type="dxa"/>
            <w:bottom w:w="0" w:type="dxa"/>
            <w:right w:w="108" w:type="dxa"/>
          </w:tblCellMar>
        </w:tblPrEx>
        <w:trPr>
          <w:trHeight w:val="450" w:hRule="atLeast"/>
          <w:jc w:val="center"/>
        </w:trPr>
        <w:tc>
          <w:tcPr>
            <w:tcW w:w="1091" w:type="dxa"/>
            <w:tcBorders>
              <w:top w:val="single" w:color="auto" w:sz="4" w:space="0"/>
              <w:left w:val="single" w:color="auto" w:sz="4" w:space="0"/>
              <w:bottom w:val="single" w:color="auto" w:sz="4" w:space="0"/>
              <w:right w:val="single" w:color="auto" w:sz="4" w:space="0"/>
            </w:tcBorders>
            <w:shd w:val="clear" w:color="auto" w:fill="F2F2F2"/>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18</w:t>
            </w:r>
          </w:p>
        </w:tc>
        <w:tc>
          <w:tcPr>
            <w:tcW w:w="1806" w:type="dxa"/>
            <w:tcBorders>
              <w:top w:val="single" w:color="auto" w:sz="4" w:space="0"/>
              <w:left w:val="single" w:color="auto" w:sz="4" w:space="0"/>
              <w:bottom w:val="single" w:color="auto" w:sz="4" w:space="0"/>
              <w:right w:val="single" w:color="auto" w:sz="4" w:space="0"/>
            </w:tcBorders>
            <w:shd w:val="clear" w:color="auto" w:fill="F2F2F2"/>
            <w:vAlign w:val="center"/>
          </w:tcPr>
          <w:p>
            <w:pPr>
              <w:ind w:firstLine="400"/>
              <w:jc w:val="both"/>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维吾尔族</w:t>
            </w:r>
          </w:p>
        </w:tc>
        <w:tc>
          <w:tcPr>
            <w:tcW w:w="1818" w:type="dxa"/>
            <w:tcBorders>
              <w:top w:val="single" w:color="auto" w:sz="4" w:space="0"/>
              <w:left w:val="single" w:color="auto" w:sz="4" w:space="0"/>
              <w:bottom w:val="single" w:color="auto" w:sz="4" w:space="0"/>
              <w:right w:val="single" w:color="auto" w:sz="4" w:space="0"/>
            </w:tcBorders>
            <w:shd w:val="clear" w:color="auto" w:fill="F2F2F2"/>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1</w:t>
            </w:r>
          </w:p>
        </w:tc>
        <w:tc>
          <w:tcPr>
            <w:tcW w:w="2637" w:type="dxa"/>
            <w:tcBorders>
              <w:top w:val="single" w:color="auto" w:sz="4" w:space="0"/>
              <w:left w:val="single" w:color="auto" w:sz="4" w:space="0"/>
              <w:bottom w:val="single" w:color="auto" w:sz="4" w:space="0"/>
              <w:right w:val="single" w:color="auto" w:sz="4" w:space="0"/>
            </w:tcBorders>
            <w:shd w:val="clear" w:color="auto" w:fill="F2F2F2"/>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0.12%</w:t>
            </w:r>
          </w:p>
        </w:tc>
      </w:tr>
      <w:tr>
        <w:tblPrEx>
          <w:tblCellMar>
            <w:top w:w="0" w:type="dxa"/>
            <w:left w:w="108" w:type="dxa"/>
            <w:bottom w:w="0" w:type="dxa"/>
            <w:right w:w="108" w:type="dxa"/>
          </w:tblCellMar>
        </w:tblPrEx>
        <w:trPr>
          <w:trHeight w:val="450" w:hRule="atLeast"/>
          <w:jc w:val="center"/>
        </w:trPr>
        <w:tc>
          <w:tcPr>
            <w:tcW w:w="1091"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19</w:t>
            </w:r>
          </w:p>
        </w:tc>
        <w:tc>
          <w:tcPr>
            <w:tcW w:w="1806"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both"/>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朝鲜族</w:t>
            </w:r>
          </w:p>
        </w:tc>
        <w:tc>
          <w:tcPr>
            <w:tcW w:w="1818"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1</w:t>
            </w:r>
          </w:p>
        </w:tc>
        <w:tc>
          <w:tcPr>
            <w:tcW w:w="2637"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0.12%</w:t>
            </w:r>
          </w:p>
        </w:tc>
      </w:tr>
      <w:tr>
        <w:tblPrEx>
          <w:tblCellMar>
            <w:top w:w="0" w:type="dxa"/>
            <w:left w:w="108" w:type="dxa"/>
            <w:bottom w:w="0" w:type="dxa"/>
            <w:right w:w="108" w:type="dxa"/>
          </w:tblCellMar>
        </w:tblPrEx>
        <w:trPr>
          <w:trHeight w:val="450" w:hRule="atLeast"/>
          <w:jc w:val="center"/>
        </w:trPr>
        <w:tc>
          <w:tcPr>
            <w:tcW w:w="1091" w:type="dxa"/>
            <w:tcBorders>
              <w:top w:val="single" w:color="auto" w:sz="4" w:space="0"/>
              <w:left w:val="single" w:color="auto" w:sz="4" w:space="0"/>
              <w:bottom w:val="single" w:color="auto" w:sz="4" w:space="0"/>
              <w:right w:val="single" w:color="auto" w:sz="4" w:space="0"/>
            </w:tcBorders>
            <w:shd w:val="clear" w:color="auto" w:fill="F2F2F2"/>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20</w:t>
            </w:r>
          </w:p>
        </w:tc>
        <w:tc>
          <w:tcPr>
            <w:tcW w:w="1806" w:type="dxa"/>
            <w:tcBorders>
              <w:top w:val="single" w:color="auto" w:sz="4" w:space="0"/>
              <w:left w:val="single" w:color="auto" w:sz="4" w:space="0"/>
              <w:bottom w:val="single" w:color="auto" w:sz="4" w:space="0"/>
              <w:right w:val="single" w:color="auto" w:sz="4" w:space="0"/>
            </w:tcBorders>
            <w:shd w:val="clear" w:color="auto" w:fill="F2F2F2"/>
            <w:vAlign w:val="center"/>
          </w:tcPr>
          <w:p>
            <w:pPr>
              <w:ind w:firstLine="400"/>
              <w:jc w:val="both"/>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傣族</w:t>
            </w:r>
          </w:p>
        </w:tc>
        <w:tc>
          <w:tcPr>
            <w:tcW w:w="1818" w:type="dxa"/>
            <w:tcBorders>
              <w:top w:val="single" w:color="auto" w:sz="4" w:space="0"/>
              <w:left w:val="single" w:color="auto" w:sz="4" w:space="0"/>
              <w:bottom w:val="single" w:color="auto" w:sz="4" w:space="0"/>
              <w:right w:val="single" w:color="auto" w:sz="4" w:space="0"/>
            </w:tcBorders>
            <w:shd w:val="clear" w:color="auto" w:fill="F2F2F2"/>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1</w:t>
            </w:r>
          </w:p>
        </w:tc>
        <w:tc>
          <w:tcPr>
            <w:tcW w:w="2637" w:type="dxa"/>
            <w:tcBorders>
              <w:top w:val="single" w:color="auto" w:sz="4" w:space="0"/>
              <w:left w:val="single" w:color="auto" w:sz="4" w:space="0"/>
              <w:bottom w:val="single" w:color="auto" w:sz="4" w:space="0"/>
              <w:right w:val="single" w:color="auto" w:sz="4" w:space="0"/>
            </w:tcBorders>
            <w:shd w:val="clear" w:color="auto" w:fill="F2F2F2"/>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0.12%</w:t>
            </w:r>
          </w:p>
        </w:tc>
      </w:tr>
      <w:tr>
        <w:tblPrEx>
          <w:tblCellMar>
            <w:top w:w="0" w:type="dxa"/>
            <w:left w:w="108" w:type="dxa"/>
            <w:bottom w:w="0" w:type="dxa"/>
            <w:right w:w="108" w:type="dxa"/>
          </w:tblCellMar>
        </w:tblPrEx>
        <w:trPr>
          <w:trHeight w:val="450" w:hRule="atLeast"/>
          <w:jc w:val="center"/>
        </w:trPr>
        <w:tc>
          <w:tcPr>
            <w:tcW w:w="1091"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21</w:t>
            </w:r>
          </w:p>
        </w:tc>
        <w:tc>
          <w:tcPr>
            <w:tcW w:w="1806"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both"/>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拉祜族</w:t>
            </w:r>
          </w:p>
        </w:tc>
        <w:tc>
          <w:tcPr>
            <w:tcW w:w="1818"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1</w:t>
            </w:r>
          </w:p>
        </w:tc>
        <w:tc>
          <w:tcPr>
            <w:tcW w:w="2637"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0.12%</w:t>
            </w:r>
          </w:p>
        </w:tc>
      </w:tr>
      <w:tr>
        <w:tblPrEx>
          <w:tblCellMar>
            <w:top w:w="0" w:type="dxa"/>
            <w:left w:w="108" w:type="dxa"/>
            <w:bottom w:w="0" w:type="dxa"/>
            <w:right w:w="108" w:type="dxa"/>
          </w:tblCellMar>
        </w:tblPrEx>
        <w:trPr>
          <w:trHeight w:val="450" w:hRule="atLeast"/>
          <w:jc w:val="center"/>
        </w:trPr>
        <w:tc>
          <w:tcPr>
            <w:tcW w:w="1091" w:type="dxa"/>
            <w:tcBorders>
              <w:top w:val="single" w:color="auto" w:sz="4" w:space="0"/>
              <w:left w:val="single" w:color="auto" w:sz="4" w:space="0"/>
              <w:bottom w:val="single" w:color="auto" w:sz="4" w:space="0"/>
              <w:right w:val="single" w:color="auto" w:sz="4" w:space="0"/>
            </w:tcBorders>
            <w:shd w:val="clear" w:color="auto" w:fill="F2F2F2"/>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22</w:t>
            </w:r>
          </w:p>
        </w:tc>
        <w:tc>
          <w:tcPr>
            <w:tcW w:w="1806" w:type="dxa"/>
            <w:tcBorders>
              <w:top w:val="single" w:color="auto" w:sz="4" w:space="0"/>
              <w:left w:val="single" w:color="auto" w:sz="4" w:space="0"/>
              <w:bottom w:val="single" w:color="auto" w:sz="4" w:space="0"/>
              <w:right w:val="single" w:color="auto" w:sz="4" w:space="0"/>
            </w:tcBorders>
            <w:shd w:val="clear" w:color="auto" w:fill="F2F2F2"/>
            <w:vAlign w:val="center"/>
          </w:tcPr>
          <w:p>
            <w:pPr>
              <w:ind w:firstLine="400"/>
              <w:jc w:val="both"/>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景颇族</w:t>
            </w:r>
          </w:p>
        </w:tc>
        <w:tc>
          <w:tcPr>
            <w:tcW w:w="1818" w:type="dxa"/>
            <w:tcBorders>
              <w:top w:val="single" w:color="auto" w:sz="4" w:space="0"/>
              <w:left w:val="single" w:color="auto" w:sz="4" w:space="0"/>
              <w:bottom w:val="single" w:color="auto" w:sz="4" w:space="0"/>
              <w:right w:val="single" w:color="auto" w:sz="4" w:space="0"/>
            </w:tcBorders>
            <w:shd w:val="clear" w:color="auto" w:fill="F2F2F2"/>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1</w:t>
            </w:r>
          </w:p>
        </w:tc>
        <w:tc>
          <w:tcPr>
            <w:tcW w:w="2637" w:type="dxa"/>
            <w:tcBorders>
              <w:top w:val="single" w:color="auto" w:sz="4" w:space="0"/>
              <w:left w:val="single" w:color="auto" w:sz="4" w:space="0"/>
              <w:bottom w:val="single" w:color="auto" w:sz="4" w:space="0"/>
              <w:right w:val="single" w:color="auto" w:sz="4" w:space="0"/>
            </w:tcBorders>
            <w:shd w:val="clear" w:color="auto" w:fill="F2F2F2"/>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0.12%</w:t>
            </w:r>
          </w:p>
        </w:tc>
      </w:tr>
      <w:tr>
        <w:tblPrEx>
          <w:tblCellMar>
            <w:top w:w="0" w:type="dxa"/>
            <w:left w:w="108" w:type="dxa"/>
            <w:bottom w:w="0" w:type="dxa"/>
            <w:right w:w="108" w:type="dxa"/>
          </w:tblCellMar>
        </w:tblPrEx>
        <w:trPr>
          <w:trHeight w:val="450" w:hRule="atLeast"/>
          <w:jc w:val="center"/>
        </w:trPr>
        <w:tc>
          <w:tcPr>
            <w:tcW w:w="1091"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23</w:t>
            </w:r>
          </w:p>
        </w:tc>
        <w:tc>
          <w:tcPr>
            <w:tcW w:w="1806"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0" w:firstLineChars="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32仫佬族</w:t>
            </w:r>
          </w:p>
        </w:tc>
        <w:tc>
          <w:tcPr>
            <w:tcW w:w="1818"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1</w:t>
            </w:r>
          </w:p>
        </w:tc>
        <w:tc>
          <w:tcPr>
            <w:tcW w:w="2637"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0.12%</w:t>
            </w:r>
          </w:p>
        </w:tc>
      </w:tr>
      <w:tr>
        <w:tblPrEx>
          <w:tblCellMar>
            <w:top w:w="0" w:type="dxa"/>
            <w:left w:w="108" w:type="dxa"/>
            <w:bottom w:w="0" w:type="dxa"/>
            <w:right w:w="108" w:type="dxa"/>
          </w:tblCellMar>
        </w:tblPrEx>
        <w:trPr>
          <w:trHeight w:val="450" w:hRule="atLeast"/>
          <w:jc w:val="center"/>
        </w:trPr>
        <w:tc>
          <w:tcPr>
            <w:tcW w:w="1091" w:type="dxa"/>
            <w:tcBorders>
              <w:top w:val="single" w:color="auto" w:sz="4" w:space="0"/>
              <w:left w:val="single" w:color="auto" w:sz="4" w:space="0"/>
              <w:bottom w:val="single" w:color="auto" w:sz="4" w:space="0"/>
              <w:right w:val="single" w:color="auto" w:sz="4" w:space="0"/>
            </w:tcBorders>
            <w:shd w:val="clear" w:color="auto" w:fill="F2F2F2"/>
            <w:vAlign w:val="center"/>
          </w:tcPr>
          <w:p>
            <w:pPr>
              <w:ind w:firstLine="400"/>
              <w:jc w:val="both"/>
              <w:textAlignment w:val="center"/>
              <w:rPr>
                <w:rFonts w:ascii="微软雅黑" w:hAnsi="微软雅黑" w:eastAsia="微软雅黑" w:cs="微软雅黑"/>
                <w:sz w:val="20"/>
                <w:szCs w:val="20"/>
                <w:lang w:eastAsia="zh-CN" w:bidi="ar"/>
              </w:rPr>
            </w:pPr>
            <w:r>
              <w:rPr>
                <w:rFonts w:hint="eastAsia" w:ascii="微软雅黑" w:hAnsi="微软雅黑" w:eastAsia="微软雅黑" w:cs="微软雅黑"/>
                <w:sz w:val="20"/>
                <w:szCs w:val="20"/>
                <w:lang w:eastAsia="zh-CN" w:bidi="ar"/>
              </w:rPr>
              <w:t>24</w:t>
            </w:r>
          </w:p>
        </w:tc>
        <w:tc>
          <w:tcPr>
            <w:tcW w:w="1806" w:type="dxa"/>
            <w:tcBorders>
              <w:top w:val="single" w:color="auto" w:sz="4" w:space="0"/>
              <w:left w:val="single" w:color="auto" w:sz="4" w:space="0"/>
              <w:bottom w:val="single" w:color="auto" w:sz="4" w:space="0"/>
              <w:right w:val="single" w:color="auto" w:sz="4" w:space="0"/>
            </w:tcBorders>
            <w:shd w:val="clear" w:color="auto" w:fill="F2F2F2"/>
            <w:vAlign w:val="center"/>
          </w:tcPr>
          <w:p>
            <w:pPr>
              <w:ind w:firstLine="400"/>
              <w:jc w:val="both"/>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49京族</w:t>
            </w:r>
          </w:p>
        </w:tc>
        <w:tc>
          <w:tcPr>
            <w:tcW w:w="1818" w:type="dxa"/>
            <w:tcBorders>
              <w:top w:val="single" w:color="auto" w:sz="4" w:space="0"/>
              <w:left w:val="single" w:color="auto" w:sz="4" w:space="0"/>
              <w:bottom w:val="single" w:color="auto" w:sz="4" w:space="0"/>
              <w:right w:val="single" w:color="auto" w:sz="4" w:space="0"/>
            </w:tcBorders>
            <w:shd w:val="clear" w:color="auto" w:fill="F2F2F2"/>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1</w:t>
            </w:r>
          </w:p>
        </w:tc>
        <w:tc>
          <w:tcPr>
            <w:tcW w:w="2637" w:type="dxa"/>
            <w:tcBorders>
              <w:top w:val="single" w:color="auto" w:sz="4" w:space="0"/>
              <w:left w:val="single" w:color="auto" w:sz="4" w:space="0"/>
              <w:bottom w:val="single" w:color="auto" w:sz="4" w:space="0"/>
              <w:right w:val="single" w:color="auto" w:sz="4" w:space="0"/>
            </w:tcBorders>
            <w:shd w:val="clear" w:color="auto" w:fill="F2F2F2"/>
            <w:vAlign w:val="center"/>
          </w:tcPr>
          <w:p>
            <w:pPr>
              <w:ind w:firstLine="400"/>
              <w:jc w:val="center"/>
              <w:textAlignment w:val="center"/>
              <w:rPr>
                <w:rFonts w:ascii="微软雅黑" w:hAnsi="微软雅黑" w:eastAsia="微软雅黑" w:cs="微软雅黑"/>
                <w:sz w:val="20"/>
                <w:szCs w:val="20"/>
              </w:rPr>
            </w:pPr>
            <w:r>
              <w:rPr>
                <w:rFonts w:hint="eastAsia" w:ascii="微软雅黑" w:hAnsi="微软雅黑" w:eastAsia="微软雅黑" w:cs="微软雅黑"/>
                <w:sz w:val="20"/>
                <w:szCs w:val="20"/>
                <w:lang w:eastAsia="zh-CN" w:bidi="ar"/>
              </w:rPr>
              <w:t>0.12%</w:t>
            </w:r>
          </w:p>
        </w:tc>
      </w:tr>
    </w:tbl>
    <w:p>
      <w:pPr>
        <w:rPr>
          <w:rFonts w:hint="eastAsia"/>
          <w:snapToGrid/>
          <w:sz w:val="21"/>
          <w:lang w:eastAsia="zh-CN"/>
        </w:rPr>
      </w:pPr>
      <w:r>
        <w:rPr>
          <w:rFonts w:hint="eastAsia" w:ascii="仿宋" w:hAnsi="仿宋"/>
          <w:sz w:val="21"/>
          <w:lang w:eastAsia="zh-CN"/>
        </w:rPr>
        <w:t>数据来源：全国高校毕业生就业管理系统</w:t>
      </w:r>
    </w:p>
    <w:p>
      <w:pPr>
        <w:pStyle w:val="2"/>
        <w:ind w:firstLine="640"/>
        <w:rPr>
          <w:lang w:eastAsia="zh-CN"/>
        </w:rPr>
      </w:pPr>
      <w:bookmarkStart w:id="9" w:name="_Toc151887674"/>
      <w:r>
        <w:rPr>
          <w:rFonts w:hint="eastAsia"/>
          <w:lang w:eastAsia="zh-CN"/>
        </w:rPr>
        <w:t>二</w:t>
      </w:r>
      <w:r>
        <w:rPr>
          <w:lang w:eastAsia="zh-CN"/>
        </w:rPr>
        <w:t>、毕业</w:t>
      </w:r>
      <w:r>
        <w:rPr>
          <w:rFonts w:hint="eastAsia"/>
          <w:lang w:eastAsia="zh-CN"/>
        </w:rPr>
        <w:t>去向落实率及去向</w:t>
      </w:r>
      <w:bookmarkEnd w:id="9"/>
    </w:p>
    <w:p>
      <w:pPr>
        <w:pStyle w:val="3"/>
        <w:ind w:firstLine="643"/>
        <w:rPr>
          <w:lang w:eastAsia="zh-CN"/>
        </w:rPr>
      </w:pPr>
      <w:bookmarkStart w:id="10" w:name="_Toc151887675"/>
      <w:r>
        <w:rPr>
          <w:lang w:eastAsia="zh-CN"/>
        </w:rPr>
        <w:t>（一）毕业生就业率</w:t>
      </w:r>
      <w:bookmarkEnd w:id="10"/>
    </w:p>
    <w:p>
      <w:pPr>
        <w:ind w:firstLine="640"/>
        <w:rPr>
          <w:lang w:eastAsia="zh-CN"/>
        </w:rPr>
      </w:pPr>
      <w:r>
        <w:rPr>
          <w:rFonts w:hint="eastAsia"/>
          <w:lang w:eastAsia="zh-CN"/>
        </w:rPr>
        <w:t>2022届毕业生总数4356人,其中就业去向落实人数为4139人，就业去向落实率为95.02%，待就业217人，占毕业生总数的4.98%。</w:t>
      </w:r>
    </w:p>
    <w:p>
      <w:pPr>
        <w:ind w:firstLine="422"/>
        <w:rPr>
          <w:rFonts w:eastAsia="黑体"/>
          <w:b/>
          <w:sz w:val="21"/>
          <w:lang w:eastAsia="zh-CN"/>
        </w:rPr>
      </w:pPr>
      <w:r>
        <w:rPr>
          <w:rFonts w:hint="eastAsia" w:eastAsia="黑体"/>
          <w:b/>
          <w:sz w:val="21"/>
          <w:lang w:eastAsia="zh-CN"/>
        </w:rPr>
        <w:br w:type="page"/>
      </w:r>
    </w:p>
    <w:p>
      <w:pPr>
        <w:ind w:firstLine="0" w:firstLineChars="0"/>
        <w:jc w:val="center"/>
        <w:rPr>
          <w:rFonts w:eastAsia="黑体"/>
          <w:b/>
          <w:sz w:val="21"/>
          <w:lang w:eastAsia="zh-CN"/>
        </w:rPr>
      </w:pPr>
    </w:p>
    <w:p>
      <w:pPr>
        <w:ind w:firstLine="0" w:firstLineChars="0"/>
        <w:jc w:val="center"/>
        <w:rPr>
          <w:rFonts w:eastAsia="黑体"/>
          <w:b/>
          <w:sz w:val="21"/>
          <w:lang w:eastAsia="zh-CN"/>
        </w:rPr>
      </w:pPr>
    </w:p>
    <w:p>
      <w:pPr>
        <w:ind w:firstLine="0" w:firstLineChars="0"/>
        <w:jc w:val="center"/>
        <w:rPr>
          <w:rFonts w:eastAsia="黑体"/>
          <w:b/>
          <w:sz w:val="21"/>
          <w:lang w:eastAsia="zh-CN"/>
        </w:rPr>
      </w:pPr>
    </w:p>
    <w:p>
      <w:pPr>
        <w:ind w:firstLine="0" w:firstLineChars="0"/>
        <w:jc w:val="center"/>
        <w:rPr>
          <w:rFonts w:eastAsia="黑体"/>
          <w:b/>
          <w:sz w:val="21"/>
          <w:lang w:eastAsia="zh-CN"/>
        </w:rPr>
      </w:pPr>
    </w:p>
    <w:p>
      <w:pPr>
        <w:ind w:firstLine="0" w:firstLineChars="0"/>
        <w:jc w:val="center"/>
        <w:rPr>
          <w:rFonts w:eastAsia="黑体"/>
          <w:b/>
          <w:sz w:val="21"/>
          <w:lang w:eastAsia="zh-CN"/>
        </w:rPr>
      </w:pPr>
    </w:p>
    <w:p>
      <w:pPr>
        <w:ind w:firstLine="0" w:firstLineChars="0"/>
        <w:jc w:val="center"/>
        <w:rPr>
          <w:rFonts w:eastAsia="黑体"/>
          <w:b/>
          <w:sz w:val="21"/>
          <w:lang w:eastAsia="zh-CN"/>
        </w:rPr>
      </w:pPr>
    </w:p>
    <w:p>
      <w:pPr>
        <w:ind w:firstLine="0" w:firstLineChars="0"/>
        <w:jc w:val="center"/>
        <w:rPr>
          <w:rFonts w:eastAsia="黑体"/>
          <w:b/>
          <w:sz w:val="21"/>
          <w:lang w:eastAsia="zh-CN"/>
        </w:rPr>
      </w:pPr>
    </w:p>
    <w:p>
      <w:pPr>
        <w:ind w:firstLine="0" w:firstLineChars="0"/>
        <w:jc w:val="center"/>
        <w:rPr>
          <w:rFonts w:eastAsia="黑体"/>
          <w:b/>
          <w:sz w:val="21"/>
          <w:lang w:eastAsia="zh-CN"/>
        </w:rPr>
      </w:pPr>
    </w:p>
    <w:p>
      <w:pPr>
        <w:ind w:firstLine="0" w:firstLineChars="0"/>
        <w:jc w:val="center"/>
        <w:rPr>
          <w:rFonts w:eastAsia="黑体"/>
          <w:b/>
          <w:sz w:val="21"/>
          <w:lang w:eastAsia="zh-CN"/>
        </w:rPr>
      </w:pPr>
    </w:p>
    <w:p>
      <w:pPr>
        <w:ind w:firstLine="0" w:firstLineChars="0"/>
        <w:jc w:val="center"/>
        <w:rPr>
          <w:rFonts w:eastAsia="黑体"/>
          <w:bCs/>
          <w:sz w:val="21"/>
          <w:lang w:eastAsia="zh-CN"/>
        </w:rPr>
      </w:pPr>
      <w:r>
        <w:rPr>
          <w:rFonts w:hint="eastAsia" w:eastAsia="黑体"/>
          <w:b/>
          <w:sz w:val="21"/>
          <w:lang w:eastAsia="zh-CN"/>
        </w:rPr>
        <w:t xml:space="preserve">图1.3  </w:t>
      </w:r>
      <w:r>
        <w:rPr>
          <w:rFonts w:hint="eastAsia" w:eastAsia="黑体"/>
          <w:bCs/>
          <w:sz w:val="21"/>
          <w:lang w:eastAsia="zh-CN"/>
        </w:rPr>
        <w:t>毕业生生源结构</w:t>
      </w:r>
    </w:p>
    <w:p>
      <w:pPr>
        <w:rPr>
          <w:snapToGrid/>
          <w:sz w:val="21"/>
          <w:lang w:eastAsia="zh-CN"/>
        </w:rPr>
      </w:pPr>
      <w:r>
        <w:rPr>
          <w:rFonts w:hint="eastAsia" w:ascii="仿宋" w:hAnsi="仿宋"/>
          <w:sz w:val="21"/>
          <w:lang w:eastAsia="zh-CN"/>
        </w:rPr>
        <w:t>数据来源：全国高校毕业生就业管理系统</w:t>
      </w:r>
    </w:p>
    <w:p>
      <w:pPr>
        <w:ind w:firstLine="640"/>
        <w:rPr>
          <w:lang w:eastAsia="zh-CN"/>
        </w:rPr>
      </w:pPr>
      <w:r>
        <w:rPr>
          <w:rFonts w:hint="eastAsia"/>
          <w:lang w:eastAsia="zh-CN"/>
        </w:rPr>
        <w:drawing>
          <wp:anchor distT="0" distB="0" distL="114300" distR="114300" simplePos="0" relativeHeight="251661312" behindDoc="0" locked="0" layoutInCell="1" allowOverlap="1">
            <wp:simplePos x="0" y="0"/>
            <wp:positionH relativeFrom="column">
              <wp:posOffset>219710</wp:posOffset>
            </wp:positionH>
            <wp:positionV relativeFrom="page">
              <wp:posOffset>972185</wp:posOffset>
            </wp:positionV>
            <wp:extent cx="5256530" cy="2988310"/>
            <wp:effectExtent l="5080" t="4445" r="8890" b="17145"/>
            <wp:wrapSquare wrapText="bothSides"/>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Pr>
          <w:lang w:eastAsia="zh-CN"/>
        </w:rPr>
        <w:t>（二）毕业生就业方式</w:t>
      </w:r>
    </w:p>
    <w:p>
      <w:pPr>
        <w:ind w:firstLine="640"/>
        <w:rPr>
          <w:lang w:eastAsia="zh-CN"/>
        </w:rPr>
      </w:pPr>
      <w:r>
        <w:rPr>
          <w:rFonts w:hint="eastAsia"/>
          <w:lang w:eastAsia="zh-CN"/>
        </w:rPr>
        <w:t>截止2022年12月，2022届毕业生签就业协议形式就业1986人、专科升普通本科1204人、自由职业372人、其他录用证明就业274人、求职中217人、签劳动合同就业209人、应征义务兵74人、自主创业19人。出国出境深造1人。</w:t>
      </w:r>
    </w:p>
    <w:p>
      <w:pPr>
        <w:ind w:firstLine="422"/>
        <w:jc w:val="center"/>
        <w:rPr>
          <w:rFonts w:eastAsia="黑体"/>
          <w:bCs/>
          <w:sz w:val="21"/>
          <w:lang w:eastAsia="zh-CN"/>
        </w:rPr>
      </w:pPr>
      <w:r>
        <w:rPr>
          <w:rFonts w:hint="eastAsia" w:eastAsia="黑体"/>
          <w:b/>
          <w:sz w:val="21"/>
          <w:lang w:eastAsia="zh-CN"/>
        </w:rPr>
        <w:t xml:space="preserve">图1.3 </w:t>
      </w:r>
      <w:r>
        <w:rPr>
          <w:rFonts w:hint="eastAsia" w:eastAsia="黑体"/>
          <w:bCs/>
          <w:sz w:val="21"/>
          <w:lang w:eastAsia="zh-CN"/>
        </w:rPr>
        <w:t xml:space="preserve"> 毕业生生源结构</w:t>
      </w:r>
    </w:p>
    <w:p>
      <w:pPr>
        <w:ind w:firstLine="640"/>
        <w:rPr>
          <w:rFonts w:ascii="黑体" w:hAnsi="黑体" w:eastAsia="黑体" w:cs="黑体"/>
          <w:spacing w:val="7"/>
          <w:sz w:val="31"/>
          <w:szCs w:val="31"/>
          <w:lang w:eastAsia="zh-CN"/>
          <w14:textOutline w14:w="5791" w14:cap="sq" w14:cmpd="sng" w14:algn="ctr">
            <w14:solidFill>
              <w14:srgbClr w14:val="000000"/>
            </w14:solidFill>
            <w14:prstDash w14:val="solid"/>
            <w14:bevel/>
          </w14:textOutline>
        </w:rPr>
      </w:pPr>
      <w:r>
        <w:drawing>
          <wp:anchor distT="0" distB="0" distL="114300" distR="114300" simplePos="0" relativeHeight="251662336" behindDoc="0" locked="0" layoutInCell="1" allowOverlap="1">
            <wp:simplePos x="0" y="0"/>
            <wp:positionH relativeFrom="column">
              <wp:posOffset>843915</wp:posOffset>
            </wp:positionH>
            <wp:positionV relativeFrom="paragraph">
              <wp:posOffset>48895</wp:posOffset>
            </wp:positionV>
            <wp:extent cx="4826000" cy="2743200"/>
            <wp:effectExtent l="4445" t="4445" r="8255" b="8255"/>
            <wp:wrapNone/>
            <wp:docPr id="3" name="图表 4" descr="7b0a202020202263686172745265734964223a20223230343736303735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Pr>
          <w:rFonts w:ascii="黑体" w:hAnsi="黑体" w:eastAsia="黑体" w:cs="黑体"/>
          <w:spacing w:val="7"/>
          <w:sz w:val="31"/>
          <w:szCs w:val="31"/>
          <w:lang w:eastAsia="zh-CN"/>
          <w14:textOutline w14:w="5791" w14:cap="sq" w14:cmpd="sng" w14:algn="ctr">
            <w14:solidFill>
              <w14:srgbClr w14:val="000000"/>
            </w14:solidFill>
            <w14:prstDash w14:val="solid"/>
            <w14:bevel/>
          </w14:textOutline>
        </w:rPr>
        <w:br w:type="page"/>
      </w:r>
    </w:p>
    <w:p>
      <w:pPr>
        <w:rPr>
          <w:snapToGrid/>
          <w:sz w:val="21"/>
          <w:lang w:eastAsia="zh-CN"/>
        </w:rPr>
      </w:pPr>
      <w:r>
        <w:rPr>
          <w:rFonts w:hint="eastAsia" w:ascii="仿宋" w:hAnsi="仿宋"/>
          <w:sz w:val="21"/>
          <w:lang w:eastAsia="zh-CN"/>
        </w:rPr>
        <w:t>数据来源：全国高校毕业生就业管理系统</w:t>
      </w:r>
    </w:p>
    <w:p>
      <w:pPr>
        <w:pStyle w:val="2"/>
        <w:ind w:firstLine="640"/>
        <w:rPr>
          <w:lang w:eastAsia="zh-CN"/>
        </w:rPr>
      </w:pPr>
      <w:bookmarkStart w:id="11" w:name="_Toc151887676"/>
      <w:r>
        <w:rPr>
          <w:rFonts w:hint="eastAsia"/>
          <w:lang w:eastAsia="zh-CN"/>
        </w:rPr>
        <w:t>三</w:t>
      </w:r>
      <w:r>
        <w:rPr>
          <w:lang w:eastAsia="zh-CN"/>
        </w:rPr>
        <w:t>、毕业生就业流向</w:t>
      </w:r>
      <w:bookmarkEnd w:id="11"/>
    </w:p>
    <w:p>
      <w:pPr>
        <w:pStyle w:val="3"/>
        <w:ind w:firstLine="643"/>
        <w:rPr>
          <w:lang w:eastAsia="zh-CN"/>
        </w:rPr>
      </w:pPr>
      <w:bookmarkStart w:id="12" w:name="_Toc151887677"/>
      <w:r>
        <w:rPr>
          <w:lang w:eastAsia="zh-CN"/>
        </w:rPr>
        <w:t>（一）毕业生升学应征入伍情况</w:t>
      </w:r>
      <w:bookmarkEnd w:id="12"/>
    </w:p>
    <w:p>
      <w:pPr>
        <w:ind w:firstLine="640"/>
        <w:rPr>
          <w:lang w:eastAsia="zh-CN"/>
        </w:rPr>
      </w:pPr>
      <w:r>
        <w:rPr>
          <w:lang w:eastAsia="zh-CN"/>
        </w:rPr>
        <w:t>学校20</w:t>
      </w:r>
      <w:r>
        <w:rPr>
          <w:rFonts w:hint="eastAsia"/>
          <w:lang w:eastAsia="zh-CN"/>
        </w:rPr>
        <w:t>22</w:t>
      </w:r>
      <w:r>
        <w:rPr>
          <w:lang w:eastAsia="zh-CN"/>
        </w:rPr>
        <w:t>届毕业生升学人数为</w:t>
      </w:r>
      <w:r>
        <w:rPr>
          <w:rFonts w:hint="eastAsia"/>
          <w:lang w:eastAsia="zh-CN"/>
        </w:rPr>
        <w:t>1204</w:t>
      </w:r>
      <w:r>
        <w:rPr>
          <w:lang w:eastAsia="zh-CN"/>
        </w:rPr>
        <w:t>人，占毕业生总人数比例为2</w:t>
      </w:r>
      <w:r>
        <w:rPr>
          <w:rFonts w:hint="eastAsia"/>
          <w:lang w:eastAsia="zh-CN"/>
        </w:rPr>
        <w:t>7.64</w:t>
      </w:r>
      <w:r>
        <w:rPr>
          <w:lang w:eastAsia="zh-CN"/>
        </w:rPr>
        <w:t>%，应征入伍人数为7</w:t>
      </w:r>
      <w:r>
        <w:rPr>
          <w:rFonts w:hint="eastAsia"/>
          <w:lang w:eastAsia="zh-CN"/>
        </w:rPr>
        <w:t>4</w:t>
      </w:r>
      <w:r>
        <w:rPr>
          <w:lang w:eastAsia="zh-CN"/>
        </w:rPr>
        <w:t>人，占毕业生总人数比例为</w:t>
      </w:r>
      <w:r>
        <w:rPr>
          <w:rFonts w:hint="eastAsia"/>
          <w:lang w:eastAsia="zh-CN"/>
        </w:rPr>
        <w:t>1</w:t>
      </w:r>
      <w:r>
        <w:rPr>
          <w:lang w:eastAsia="zh-CN"/>
        </w:rPr>
        <w:t>.69%。</w:t>
      </w:r>
    </w:p>
    <w:p>
      <w:pPr>
        <w:pStyle w:val="3"/>
        <w:ind w:firstLine="643"/>
        <w:rPr>
          <w:lang w:eastAsia="zh-CN"/>
        </w:rPr>
      </w:pPr>
      <w:bookmarkStart w:id="13" w:name="_Toc151887678"/>
      <w:r>
        <w:rPr>
          <w:lang w:eastAsia="zh-CN"/>
        </w:rPr>
        <w:t>（二）毕业生就业地区分布</w:t>
      </w:r>
      <w:bookmarkEnd w:id="13"/>
    </w:p>
    <w:p>
      <w:pPr>
        <w:ind w:firstLine="640"/>
        <w:rPr>
          <w:lang w:eastAsia="zh-CN"/>
        </w:rPr>
      </w:pPr>
      <w:r>
        <w:rPr>
          <w:lang w:eastAsia="zh-CN"/>
        </w:rPr>
        <w:t>学校20</w:t>
      </w:r>
      <w:r>
        <w:rPr>
          <w:rFonts w:hint="eastAsia"/>
          <w:lang w:eastAsia="zh-CN"/>
        </w:rPr>
        <w:t>22</w:t>
      </w:r>
      <w:r>
        <w:rPr>
          <w:lang w:eastAsia="zh-CN"/>
        </w:rPr>
        <w:t>届毕业生</w:t>
      </w:r>
      <w:r>
        <w:rPr>
          <w:rFonts w:hint="eastAsia"/>
          <w:lang w:eastAsia="zh-CN"/>
        </w:rPr>
        <w:t>4356人</w:t>
      </w:r>
      <w:r>
        <w:rPr>
          <w:lang w:eastAsia="zh-CN"/>
        </w:rPr>
        <w:t>（其中海南生源</w:t>
      </w:r>
      <w:r>
        <w:rPr>
          <w:rFonts w:hint="eastAsia"/>
          <w:lang w:eastAsia="zh-CN"/>
        </w:rPr>
        <w:t>3259</w:t>
      </w:r>
      <w:r>
        <w:rPr>
          <w:lang w:eastAsia="zh-CN"/>
        </w:rPr>
        <w:t>人，占毕业生的总人数</w:t>
      </w:r>
      <w:r>
        <w:rPr>
          <w:rFonts w:hint="eastAsia"/>
          <w:lang w:eastAsia="zh-CN"/>
        </w:rPr>
        <w:t>74.81</w:t>
      </w:r>
      <w:r>
        <w:rPr>
          <w:lang w:eastAsia="zh-CN"/>
        </w:rPr>
        <w:t>%，省外生</w:t>
      </w:r>
      <w:r>
        <w:rPr>
          <w:rFonts w:hint="eastAsia"/>
          <w:lang w:eastAsia="zh-CN"/>
        </w:rPr>
        <w:t>源1097</w:t>
      </w:r>
      <w:r>
        <w:rPr>
          <w:lang w:eastAsia="zh-CN"/>
        </w:rPr>
        <w:t>人，占毕业生的总人数</w:t>
      </w:r>
      <w:r>
        <w:rPr>
          <w:rFonts w:hint="eastAsia"/>
          <w:lang w:eastAsia="zh-CN"/>
        </w:rPr>
        <w:t>25.18</w:t>
      </w:r>
      <w:r>
        <w:rPr>
          <w:lang w:eastAsia="zh-CN"/>
        </w:rPr>
        <w:t>%）。签订就业协议人数</w:t>
      </w:r>
      <w:r>
        <w:rPr>
          <w:rFonts w:hint="eastAsia"/>
          <w:lang w:eastAsia="zh-CN"/>
        </w:rPr>
        <w:t>1986</w:t>
      </w:r>
      <w:r>
        <w:rPr>
          <w:lang w:eastAsia="zh-CN"/>
        </w:rPr>
        <w:t>人，升学人数为</w:t>
      </w:r>
      <w:r>
        <w:rPr>
          <w:rFonts w:hint="eastAsia"/>
          <w:lang w:eastAsia="zh-CN"/>
        </w:rPr>
        <w:t>1204</w:t>
      </w:r>
      <w:r>
        <w:rPr>
          <w:lang w:eastAsia="zh-CN"/>
        </w:rPr>
        <w:t>人，应征义务兵为</w:t>
      </w:r>
      <w:r>
        <w:rPr>
          <w:rFonts w:hint="eastAsia"/>
          <w:lang w:eastAsia="zh-CN"/>
        </w:rPr>
        <w:t>74</w:t>
      </w:r>
      <w:r>
        <w:rPr>
          <w:lang w:eastAsia="zh-CN"/>
        </w:rPr>
        <w:t>人。</w:t>
      </w:r>
    </w:p>
    <w:p>
      <w:pPr>
        <w:ind w:firstLine="640"/>
        <w:rPr>
          <w:lang w:eastAsia="zh-CN"/>
        </w:rPr>
      </w:pPr>
      <w:r>
        <w:rPr>
          <w:lang w:eastAsia="zh-CN"/>
        </w:rPr>
        <w:t>主要分布就业区域：在海南省就业人数为</w:t>
      </w:r>
      <w:r>
        <w:rPr>
          <w:rFonts w:hint="eastAsia"/>
          <w:lang w:eastAsia="zh-CN"/>
        </w:rPr>
        <w:t>2208</w:t>
      </w:r>
      <w:r>
        <w:rPr>
          <w:lang w:eastAsia="zh-CN"/>
        </w:rPr>
        <w:t>人，占就业总人数7</w:t>
      </w:r>
      <w:r>
        <w:rPr>
          <w:rFonts w:hint="eastAsia"/>
          <w:lang w:eastAsia="zh-CN"/>
        </w:rPr>
        <w:t>7.20</w:t>
      </w:r>
      <w:r>
        <w:rPr>
          <w:lang w:eastAsia="zh-CN"/>
        </w:rPr>
        <w:t>%；在</w:t>
      </w:r>
      <w:r>
        <w:rPr>
          <w:rFonts w:hint="eastAsia"/>
          <w:lang w:eastAsia="zh-CN"/>
        </w:rPr>
        <w:t>北京</w:t>
      </w:r>
      <w:r>
        <w:rPr>
          <w:lang w:eastAsia="zh-CN"/>
        </w:rPr>
        <w:t>省就业人数为</w:t>
      </w:r>
      <w:r>
        <w:rPr>
          <w:rFonts w:hint="eastAsia"/>
          <w:lang w:eastAsia="zh-CN"/>
        </w:rPr>
        <w:t>6人，</w:t>
      </w:r>
      <w:r>
        <w:rPr>
          <w:lang w:eastAsia="zh-CN"/>
        </w:rPr>
        <w:t>占就业总人数为</w:t>
      </w:r>
      <w:r>
        <w:rPr>
          <w:rFonts w:hint="eastAsia"/>
          <w:lang w:eastAsia="zh-CN"/>
        </w:rPr>
        <w:t>0.13%，</w:t>
      </w:r>
      <w:r>
        <w:rPr>
          <w:lang w:eastAsia="zh-CN"/>
        </w:rPr>
        <w:t>在广东就业人数为</w:t>
      </w:r>
      <w:r>
        <w:rPr>
          <w:rFonts w:hint="eastAsia"/>
          <w:lang w:eastAsia="zh-CN"/>
        </w:rPr>
        <w:t>209</w:t>
      </w:r>
      <w:r>
        <w:rPr>
          <w:lang w:eastAsia="zh-CN"/>
        </w:rPr>
        <w:t>人，占就业总人数为7.</w:t>
      </w:r>
      <w:r>
        <w:rPr>
          <w:rFonts w:hint="eastAsia"/>
          <w:lang w:eastAsia="zh-CN"/>
        </w:rPr>
        <w:t>31</w:t>
      </w:r>
      <w:r>
        <w:rPr>
          <w:lang w:eastAsia="zh-CN"/>
        </w:rPr>
        <w:t>%，在福建省就业人数为</w:t>
      </w:r>
      <w:r>
        <w:rPr>
          <w:rFonts w:hint="eastAsia"/>
          <w:lang w:eastAsia="zh-CN"/>
        </w:rPr>
        <w:t>83</w:t>
      </w:r>
      <w:r>
        <w:rPr>
          <w:lang w:eastAsia="zh-CN"/>
        </w:rPr>
        <w:t>人，占就业总人数</w:t>
      </w:r>
      <w:r>
        <w:rPr>
          <w:rFonts w:hint="eastAsia"/>
          <w:lang w:eastAsia="zh-CN"/>
        </w:rPr>
        <w:t>2.90</w:t>
      </w:r>
      <w:r>
        <w:rPr>
          <w:lang w:eastAsia="zh-CN"/>
        </w:rPr>
        <w:t>%；在上海市就业人数为</w:t>
      </w:r>
      <w:r>
        <w:rPr>
          <w:rFonts w:hint="eastAsia"/>
          <w:lang w:eastAsia="zh-CN"/>
        </w:rPr>
        <w:t>26</w:t>
      </w:r>
      <w:r>
        <w:rPr>
          <w:lang w:eastAsia="zh-CN"/>
        </w:rPr>
        <w:t>人，占就业总人数为</w:t>
      </w:r>
      <w:r>
        <w:rPr>
          <w:rFonts w:hint="eastAsia"/>
          <w:lang w:eastAsia="zh-CN"/>
        </w:rPr>
        <w:t>0.91</w:t>
      </w:r>
      <w:r>
        <w:rPr>
          <w:lang w:eastAsia="zh-CN"/>
        </w:rPr>
        <w:t>%；其他地方就业人数为</w:t>
      </w:r>
      <w:r>
        <w:rPr>
          <w:rFonts w:hint="eastAsia"/>
          <w:lang w:eastAsia="zh-CN"/>
        </w:rPr>
        <w:t>1773</w:t>
      </w:r>
      <w:r>
        <w:rPr>
          <w:lang w:eastAsia="zh-CN"/>
        </w:rPr>
        <w:t>人，占就业总人数</w:t>
      </w:r>
      <w:r>
        <w:rPr>
          <w:rFonts w:hint="eastAsia"/>
          <w:lang w:eastAsia="zh-CN"/>
        </w:rPr>
        <w:t>40.70</w:t>
      </w:r>
      <w:r>
        <w:rPr>
          <w:lang w:eastAsia="zh-CN"/>
        </w:rPr>
        <w:t>%。</w:t>
      </w:r>
    </w:p>
    <w:p>
      <w:pPr>
        <w:pStyle w:val="3"/>
        <w:ind w:firstLine="643"/>
        <w:rPr>
          <w:lang w:eastAsia="zh-CN"/>
        </w:rPr>
      </w:pPr>
      <w:bookmarkStart w:id="14" w:name="_Toc151887679"/>
      <w:r>
        <w:rPr>
          <w:lang w:eastAsia="zh-CN"/>
        </w:rPr>
        <w:t>（三）毕业生单位性质分布</w:t>
      </w:r>
      <w:bookmarkEnd w:id="14"/>
    </w:p>
    <w:p>
      <w:pPr>
        <w:ind w:firstLine="640"/>
        <w:rPr>
          <w:lang w:eastAsia="zh-CN"/>
        </w:rPr>
      </w:pPr>
      <w:r>
        <w:rPr>
          <w:lang w:eastAsia="zh-CN"/>
        </w:rPr>
        <w:t>学校20</w:t>
      </w:r>
      <w:r>
        <w:rPr>
          <w:rFonts w:hint="eastAsia"/>
          <w:lang w:eastAsia="zh-CN"/>
        </w:rPr>
        <w:t>22</w:t>
      </w:r>
      <w:r>
        <w:rPr>
          <w:lang w:eastAsia="zh-CN"/>
        </w:rPr>
        <w:t>届毕业生中，签订就业协议书就业</w:t>
      </w:r>
      <w:r>
        <w:rPr>
          <w:rFonts w:hint="eastAsia"/>
          <w:lang w:eastAsia="zh-CN"/>
        </w:rPr>
        <w:t>1986</w:t>
      </w:r>
      <w:r>
        <w:rPr>
          <w:lang w:eastAsia="zh-CN"/>
        </w:rPr>
        <w:t>人，</w:t>
      </w:r>
      <w:r>
        <w:rPr>
          <w:rFonts w:hint="eastAsia"/>
          <w:lang w:eastAsia="zh-CN"/>
        </w:rPr>
        <w:t>签订劳动合同就业209人，其他录用证明就业274人.</w:t>
      </w:r>
      <w:r>
        <w:rPr>
          <w:lang w:eastAsia="zh-CN"/>
        </w:rPr>
        <w:t>其中在</w:t>
      </w:r>
      <w:r>
        <w:rPr>
          <w:rFonts w:hint="eastAsia"/>
          <w:lang w:eastAsia="zh-CN"/>
        </w:rPr>
        <w:t>其他企业1426人，医疗卫生单位283人，其他事业单位107人，国有企业72人，三资企业43人，高等教育单位30人，机关25人，城镇社区11人，中初教育单位10人，科研设计单位5人，部队1人。</w:t>
      </w:r>
    </w:p>
    <w:p>
      <w:pPr>
        <w:ind w:firstLine="0" w:firstLineChars="0"/>
        <w:jc w:val="center"/>
        <w:outlineLvl w:val="0"/>
        <w:rPr>
          <w:lang w:eastAsia="zh-CN"/>
        </w:rPr>
      </w:pPr>
      <w:r>
        <w:rPr>
          <w:rFonts w:ascii="宋体" w:hAnsi="宋体" w:eastAsia="宋体" w:cs="宋体"/>
          <w:spacing w:val="10"/>
          <w:sz w:val="43"/>
          <w:szCs w:val="43"/>
          <w:lang w:eastAsia="zh-CN"/>
          <w14:textOutline w14:w="7975" w14:cap="sq" w14:cmpd="sng" w14:algn="ctr">
            <w14:solidFill>
              <w14:srgbClr w14:val="000000"/>
            </w14:solidFill>
            <w14:prstDash w14:val="solid"/>
            <w14:bevel/>
          </w14:textOutline>
        </w:rPr>
        <w:br w:type="page"/>
      </w:r>
      <w:bookmarkStart w:id="15" w:name="_Toc151887680"/>
      <w:r>
        <w:rPr>
          <w:rFonts w:ascii="宋体" w:hAnsi="宋体" w:eastAsia="宋体" w:cs="宋体"/>
          <w:spacing w:val="10"/>
          <w:sz w:val="43"/>
          <w:szCs w:val="43"/>
          <w:lang w:eastAsia="zh-CN"/>
          <w14:textOutline w14:w="7975" w14:cap="sq" w14:cmpd="sng" w14:algn="ctr">
            <w14:solidFill>
              <w14:srgbClr w14:val="000000"/>
            </w14:solidFill>
            <w14:prstDash w14:val="solid"/>
            <w14:bevel/>
          </w14:textOutline>
        </w:rPr>
        <w:t>第二部分：20</w:t>
      </w:r>
      <w:r>
        <w:rPr>
          <w:rFonts w:hint="eastAsia" w:ascii="宋体" w:hAnsi="宋体" w:eastAsia="宋体" w:cs="宋体"/>
          <w:spacing w:val="10"/>
          <w:sz w:val="43"/>
          <w:szCs w:val="43"/>
          <w:lang w:eastAsia="zh-CN"/>
          <w14:textOutline w14:w="7975" w14:cap="sq" w14:cmpd="sng" w14:algn="ctr">
            <w14:solidFill>
              <w14:srgbClr w14:val="000000"/>
            </w14:solidFill>
            <w14:prstDash w14:val="solid"/>
            <w14:bevel/>
          </w14:textOutline>
        </w:rPr>
        <w:t>22</w:t>
      </w:r>
      <w:r>
        <w:rPr>
          <w:rFonts w:ascii="宋体" w:hAnsi="宋体" w:eastAsia="宋体" w:cs="宋体"/>
          <w:spacing w:val="10"/>
          <w:sz w:val="43"/>
          <w:szCs w:val="43"/>
          <w:lang w:eastAsia="zh-CN"/>
          <w14:textOutline w14:w="7975" w14:cap="sq" w14:cmpd="sng" w14:algn="ctr">
            <w14:solidFill>
              <w14:srgbClr w14:val="000000"/>
            </w14:solidFill>
            <w14:prstDash w14:val="solid"/>
            <w14:bevel/>
          </w14:textOutline>
        </w:rPr>
        <w:t>年就业工作主要特点</w:t>
      </w:r>
      <w:bookmarkEnd w:id="15"/>
    </w:p>
    <w:p>
      <w:pPr>
        <w:pStyle w:val="2"/>
        <w:ind w:firstLine="640"/>
        <w:rPr>
          <w:lang w:eastAsia="zh-CN"/>
        </w:rPr>
      </w:pPr>
      <w:bookmarkStart w:id="16" w:name="_Toc151887681"/>
      <w:r>
        <w:rPr>
          <w:lang w:eastAsia="zh-CN"/>
        </w:rPr>
        <w:t>一、学校促进毕业生就业的政策措施</w:t>
      </w:r>
      <w:bookmarkEnd w:id="16"/>
    </w:p>
    <w:p>
      <w:pPr>
        <w:pStyle w:val="3"/>
        <w:ind w:firstLine="643"/>
        <w:rPr>
          <w:lang w:eastAsia="zh-CN"/>
        </w:rPr>
      </w:pPr>
      <w:bookmarkStart w:id="17" w:name="_Toc151887682"/>
      <w:r>
        <w:rPr>
          <w:lang w:eastAsia="zh-CN"/>
        </w:rPr>
        <w:t>（一）领导重视，工作责任落实到位</w:t>
      </w:r>
      <w:bookmarkEnd w:id="17"/>
    </w:p>
    <w:p>
      <w:pPr>
        <w:ind w:firstLine="640"/>
        <w:rPr>
          <w:lang w:eastAsia="zh-CN"/>
        </w:rPr>
      </w:pPr>
      <w:r>
        <w:rPr>
          <w:rFonts w:hint="eastAsia"/>
          <w:lang w:eastAsia="zh-CN"/>
        </w:rPr>
        <w:t>在学校领导的高度重视下，实施就业创业工作“一把手工程”并把就业创业工作看成是全校工作的一个重要部分，形成了分管校领导亲自抓，十二个二级学院党政领导总负责，并在十二个二级学院设立学工就业副院长层层落实的就业工作责任体系。由十二个二级学院学工就业副院长亲自主抓就业工作，把毕业生就业工作作为重中之重。按照海南省教育厅和海南省就业局的文件要求，深入宣传发动，调动学校分管就业工作人员的主动性，努力形成学校全方位、全员参与就业创业工作的良好局面和态势。并认真组织和总结就业工作，促进学校2022届毕业生就业指导工作进一步迈向新的台阶。</w:t>
      </w:r>
    </w:p>
    <w:p>
      <w:pPr>
        <w:pStyle w:val="3"/>
        <w:ind w:firstLine="643"/>
        <w:rPr>
          <w:lang w:eastAsia="zh-CN"/>
        </w:rPr>
      </w:pPr>
      <w:bookmarkStart w:id="18" w:name="_Toc151887683"/>
      <w:r>
        <w:rPr>
          <w:lang w:eastAsia="zh-CN"/>
        </w:rPr>
        <w:t>（二）多渠道拓宽毕业生就业渠道</w:t>
      </w:r>
      <w:bookmarkEnd w:id="18"/>
    </w:p>
    <w:p>
      <w:pPr>
        <w:pStyle w:val="4"/>
        <w:spacing w:before="140" w:after="140"/>
        <w:ind w:firstLine="643"/>
        <w:rPr>
          <w:b/>
          <w:bCs/>
          <w:lang w:eastAsia="zh-CN"/>
        </w:rPr>
      </w:pPr>
      <w:bookmarkStart w:id="19" w:name="_Toc151887684"/>
      <w:r>
        <w:rPr>
          <w:rFonts w:hint="eastAsia"/>
          <w:b/>
          <w:bCs/>
          <w:lang w:eastAsia="zh-CN"/>
        </w:rPr>
        <w:t>1.海南自由贸易港招才引智系列活动暨2022届毕业生春季校园招聘会</w:t>
      </w:r>
      <w:bookmarkEnd w:id="19"/>
    </w:p>
    <w:p>
      <w:pPr>
        <w:ind w:firstLine="500" w:firstLineChars="0"/>
        <w:outlineLvl w:val="4"/>
        <w:rPr>
          <w:lang w:eastAsia="zh-CN"/>
        </w:rPr>
      </w:pPr>
      <w:r>
        <w:rPr>
          <w:rFonts w:hint="eastAsia"/>
          <w:lang w:eastAsia="zh-CN"/>
        </w:rPr>
        <w:t>（1）美兰校区</w:t>
      </w:r>
    </w:p>
    <w:p>
      <w:pPr>
        <w:ind w:firstLine="640"/>
        <w:rPr>
          <w:lang w:eastAsia="zh-CN"/>
        </w:rPr>
      </w:pPr>
      <w:r>
        <w:rPr>
          <w:rFonts w:hint="eastAsia"/>
          <w:lang w:eastAsia="zh-CN"/>
        </w:rPr>
        <w:t>2022年5月18日，就业办与海南省教育厅、海南省人力资源开发局共同举办了海南自由贸易港招才引智系列活动暨2022届毕业生春季校园招聘会。此次招聘会吸引了海南省以及省外众多企事业单位的关注和参与，共142家用人单位报名参会，累计提供就业岗位3127个，几乎覆盖学校所有专业。招聘单位共收到学生简历将近600份，200多人与用人单位当场签订就业协议和达成就业意向。</w:t>
      </w:r>
    </w:p>
    <w:p>
      <w:pPr>
        <w:ind w:firstLine="500" w:firstLineChars="0"/>
        <w:outlineLvl w:val="4"/>
        <w:rPr>
          <w:lang w:eastAsia="zh-CN"/>
        </w:rPr>
      </w:pPr>
      <w:r>
        <w:rPr>
          <w:rFonts w:hint="eastAsia"/>
          <w:lang w:eastAsia="zh-CN"/>
        </w:rPr>
        <w:t>（2）云龙校区</w:t>
      </w:r>
    </w:p>
    <w:p>
      <w:pPr>
        <w:ind w:firstLine="640"/>
        <w:rPr>
          <w:lang w:eastAsia="zh-CN"/>
        </w:rPr>
      </w:pPr>
      <w:r>
        <w:rPr>
          <w:rFonts w:hint="eastAsia"/>
          <w:lang w:eastAsia="zh-CN"/>
        </w:rPr>
        <w:t>2022年5月25日，云龙校区同步举行2022届毕业生春季校园招聘会。本次招聘会邀请了海南骨科医院、海南口腔医院、澄迈博爱医院、海南新建康美兆健康体检中心等多家知名企业及校企合作单位共计92家，累计提供就业岗位1825个，几乎覆盖学校所有专业。招聘单位共收到学生简历680份，100多人与用人单位当场签订就业协议和达成就业意向。</w:t>
      </w:r>
    </w:p>
    <w:p>
      <w:pPr>
        <w:pStyle w:val="4"/>
        <w:spacing w:before="140" w:after="140"/>
        <w:ind w:firstLine="643"/>
        <w:rPr>
          <w:b/>
          <w:bCs/>
          <w:lang w:eastAsia="zh-CN"/>
        </w:rPr>
      </w:pPr>
      <w:bookmarkStart w:id="20" w:name="_Toc151887685"/>
      <w:r>
        <w:rPr>
          <w:rFonts w:hint="eastAsia"/>
          <w:b/>
          <w:bCs/>
          <w:lang w:eastAsia="zh-CN"/>
        </w:rPr>
        <w:t>2.</w:t>
      </w:r>
      <w:bookmarkStart w:id="21" w:name="_Toc20188"/>
      <w:r>
        <w:rPr>
          <w:rFonts w:hint="eastAsia"/>
          <w:b/>
          <w:bCs/>
          <w:lang w:eastAsia="zh-CN"/>
        </w:rPr>
        <w:t>开展访企拓岗促就业专项行动</w:t>
      </w:r>
      <w:bookmarkEnd w:id="20"/>
    </w:p>
    <w:p>
      <w:pPr>
        <w:ind w:firstLine="640"/>
        <w:rPr>
          <w:rFonts w:ascii="仿宋" w:hAnsi="仿宋" w:cs="仿宋"/>
          <w:szCs w:val="32"/>
          <w:lang w:eastAsia="zh-CN"/>
        </w:rPr>
      </w:pPr>
      <w:r>
        <w:rPr>
          <w:rFonts w:hint="eastAsia" w:ascii="仿宋" w:hAnsi="仿宋" w:cs="仿宋"/>
          <w:szCs w:val="32"/>
          <w:lang w:eastAsia="zh-CN"/>
        </w:rPr>
        <w:t>为落实《教育部办公厅关于开展全国高校书记校长访企拓岗促就业专项行动的通知》决策部署，在学校校院领导和就业办的推动下，先后赴洋浦经济开发区、澄迈生态软件园、海口市人力资源服务产业园、三亚崖州湾科技城开展访企拓岗专项行动，累计通过线上线下的方式拜访了100家企业，切实推介更多毕业生实习就业。</w:t>
      </w:r>
    </w:p>
    <w:bookmarkEnd w:id="21"/>
    <w:p>
      <w:pPr>
        <w:pStyle w:val="4"/>
        <w:spacing w:before="140" w:after="140"/>
        <w:ind w:firstLine="643"/>
        <w:rPr>
          <w:b/>
          <w:bCs/>
          <w:lang w:eastAsia="zh-CN"/>
        </w:rPr>
      </w:pPr>
      <w:bookmarkStart w:id="22" w:name="_Toc151887686"/>
      <w:r>
        <w:rPr>
          <w:rFonts w:hint="eastAsia"/>
          <w:b/>
          <w:bCs/>
          <w:lang w:eastAsia="zh-CN"/>
        </w:rPr>
        <w:t>3.开展就业促进周和“百日冲刺”系列活动</w:t>
      </w:r>
      <w:bookmarkEnd w:id="22"/>
    </w:p>
    <w:p>
      <w:pPr>
        <w:ind w:firstLine="640"/>
        <w:rPr>
          <w:lang w:eastAsia="zh-CN"/>
        </w:rPr>
      </w:pPr>
      <w:r>
        <w:rPr>
          <w:rFonts w:hint="eastAsia"/>
          <w:lang w:eastAsia="zh-CN"/>
        </w:rPr>
        <w:t>为落实海南省教育厅、海南省人力资源和社会保障厅《海南省2022届高校毕业生就业促进周开展“百日冲刺”系列活动》，就业办于2022年5月9日组织开展了就业促进周和“百日冲刺”系列活动。活动期间：组织毕业生和就业工作人员观看“2022届高校毕业生就业促进周启动仪式”直播；组织毕业生观看教育部“24365互联网+就业指导”公益直播课；组织毕业生参加2022年大中城市联合招聘企业宣讲云聘会等。</w:t>
      </w:r>
    </w:p>
    <w:p>
      <w:pPr>
        <w:pStyle w:val="4"/>
        <w:spacing w:before="140" w:after="140"/>
        <w:ind w:firstLine="643"/>
        <w:rPr>
          <w:b/>
          <w:bCs/>
          <w:lang w:eastAsia="zh-CN"/>
        </w:rPr>
      </w:pPr>
      <w:bookmarkStart w:id="23" w:name="_Toc151887687"/>
      <w:r>
        <w:rPr>
          <w:rFonts w:hint="eastAsia"/>
          <w:b/>
          <w:bCs/>
          <w:lang w:eastAsia="zh-CN"/>
        </w:rPr>
        <w:t>4.开展</w:t>
      </w:r>
      <w:r>
        <w:rPr>
          <w:b/>
          <w:bCs/>
          <w:lang w:eastAsia="zh-CN"/>
        </w:rPr>
        <w:t>2022届毕业生促进周活动暨网络招聘会</w:t>
      </w:r>
      <w:bookmarkEnd w:id="23"/>
    </w:p>
    <w:p>
      <w:pPr>
        <w:ind w:firstLine="640"/>
        <w:rPr>
          <w:lang w:eastAsia="zh-CN"/>
        </w:rPr>
      </w:pPr>
      <w:r>
        <w:rPr>
          <w:lang w:eastAsia="zh-CN"/>
        </w:rPr>
        <w:t>为贯彻党中央、国务院关于“稳就业”“保就业”决策部署，2022年5月9日—6月8日，就业办组织开展了2022届毕业生促进周活动暨网络招聘会，累计提供2622个岗位，为毕业生搭建就业桥梁，全力促进毕业生更加充分更高质量就业。</w:t>
      </w:r>
    </w:p>
    <w:p>
      <w:pPr>
        <w:pStyle w:val="3"/>
        <w:ind w:firstLine="643"/>
        <w:rPr>
          <w:lang w:eastAsia="zh-CN"/>
        </w:rPr>
      </w:pPr>
      <w:bookmarkStart w:id="24" w:name="_Toc151887688"/>
      <w:r>
        <w:rPr>
          <w:lang w:eastAsia="zh-CN"/>
        </w:rPr>
        <w:t>（三）深入加强创新创业开展和自主创业工作的扶持</w:t>
      </w:r>
      <w:bookmarkEnd w:id="24"/>
    </w:p>
    <w:p>
      <w:pPr>
        <w:ind w:firstLine="640"/>
        <w:rPr>
          <w:lang w:eastAsia="zh-CN"/>
        </w:rPr>
      </w:pPr>
      <w:r>
        <w:rPr>
          <w:lang w:eastAsia="zh-CN"/>
        </w:rPr>
        <w:t>自《国务院办公厅关于深化高等学校创新创业教育改革的实施意见》发布，我校高层领导立即认识到这是一次伟大的教育革命。理事会校行政校党委多次召开联席会议，讨论研究，部署创新创业工作。在学校十三五规划及年度计划中，都明确把创新创业作为一项重要工作来做，成立了专门领导小组，具体负责创新创业教育改革的工作；由教务处牵头，制定了较为完整的创新创业教育改革实施计划，修订了人才培养方案，明确规定创新创业教育改革要融入人才培养全过程。因此我校在创新创业方面取得了突出的成绩。</w:t>
      </w:r>
    </w:p>
    <w:p>
      <w:pPr>
        <w:pStyle w:val="4"/>
        <w:spacing w:before="140" w:after="140"/>
        <w:ind w:firstLine="643"/>
        <w:rPr>
          <w:b/>
          <w:bCs/>
          <w:lang w:eastAsia="zh-CN"/>
        </w:rPr>
      </w:pPr>
      <w:bookmarkStart w:id="25" w:name="_Toc151887689"/>
      <w:r>
        <w:rPr>
          <w:rFonts w:hint="eastAsia"/>
          <w:b/>
          <w:bCs/>
          <w:lang w:eastAsia="zh-CN"/>
        </w:rPr>
        <w:t>1.学校人才培养方案</w:t>
      </w:r>
      <w:bookmarkEnd w:id="25"/>
    </w:p>
    <w:p>
      <w:pPr>
        <w:ind w:firstLine="640"/>
        <w:rPr>
          <w:lang w:eastAsia="zh-CN"/>
        </w:rPr>
      </w:pPr>
      <w:r>
        <w:rPr>
          <w:lang w:eastAsia="zh-CN"/>
        </w:rPr>
        <w:t>根据学校人才培养定位和不断提高学生创新创业能力的目标,把提高人才培养质量作为创新创业教育改革的出发点和落脚点，把创新创业教育融入了人才培养方案,促进专业教育与创新创业教育有机融合，将创新创业教育融入了人才培养全过程。</w:t>
      </w:r>
    </w:p>
    <w:p>
      <w:pPr>
        <w:pStyle w:val="4"/>
        <w:spacing w:before="140" w:after="140"/>
        <w:ind w:firstLine="643"/>
        <w:rPr>
          <w:b/>
          <w:bCs/>
          <w:lang w:eastAsia="zh-CN"/>
        </w:rPr>
      </w:pPr>
      <w:bookmarkStart w:id="26" w:name="_Toc151887690"/>
      <w:r>
        <w:rPr>
          <w:rFonts w:hint="eastAsia"/>
          <w:b/>
          <w:bCs/>
          <w:lang w:eastAsia="zh-CN"/>
        </w:rPr>
        <w:t>2.创新创业课程</w:t>
      </w:r>
      <w:bookmarkEnd w:id="26"/>
    </w:p>
    <w:p>
      <w:pPr>
        <w:ind w:firstLine="640"/>
        <w:rPr>
          <w:lang w:val="zh-CN" w:eastAsia="zh-CN"/>
        </w:rPr>
      </w:pPr>
      <w:r>
        <w:rPr>
          <w:rFonts w:hint="eastAsia"/>
          <w:lang w:val="zh-CN" w:eastAsia="zh-CN"/>
        </w:rPr>
        <w:t>（</w:t>
      </w:r>
      <w:r>
        <w:rPr>
          <w:rFonts w:hint="eastAsia"/>
          <w:lang w:eastAsia="zh-CN"/>
        </w:rPr>
        <w:t>1</w:t>
      </w:r>
      <w:r>
        <w:rPr>
          <w:rFonts w:hint="eastAsia"/>
          <w:lang w:val="zh-CN" w:eastAsia="zh-CN"/>
        </w:rPr>
        <w:t>）学校面向全体学生开设了创新创业教育基础课程，在人才培养方案中开设了《创新创业基础》《创新创业实践》课程，共4学分。</w:t>
      </w:r>
    </w:p>
    <w:p>
      <w:pPr>
        <w:ind w:firstLine="640"/>
        <w:rPr>
          <w:lang w:val="zh-CN" w:eastAsia="zh-CN"/>
        </w:rPr>
      </w:pPr>
      <w:r>
        <w:rPr>
          <w:rFonts w:hint="eastAsia"/>
          <w:lang w:val="zh-CN" w:eastAsia="zh-CN"/>
        </w:rPr>
        <w:t>（</w:t>
      </w:r>
      <w:r>
        <w:rPr>
          <w:rFonts w:hint="eastAsia"/>
          <w:lang w:eastAsia="zh-CN"/>
        </w:rPr>
        <w:t>2</w:t>
      </w:r>
      <w:r>
        <w:rPr>
          <w:rFonts w:hint="eastAsia"/>
          <w:lang w:val="zh-CN" w:eastAsia="zh-CN"/>
        </w:rPr>
        <w:t>）学校重视创新创业教育课程建设，成立了创新创业教育教研室，组织教师参加培训和观摩课程，制定了海南科技职业大学在线课程管理办法，学生选修在线创新创业课程学分认定等</w:t>
      </w:r>
      <w:r>
        <w:rPr>
          <w:rFonts w:hint="eastAsia"/>
          <w:lang w:eastAsia="zh-CN"/>
        </w:rPr>
        <w:t>相关</w:t>
      </w:r>
      <w:r>
        <w:rPr>
          <w:rFonts w:hint="eastAsia"/>
          <w:lang w:val="zh-CN" w:eastAsia="zh-CN"/>
        </w:rPr>
        <w:t>规定。采取开设创新创业基础课程培养学生创新创业意识，开设网络在线创新创业类课程满足学生的个性化需求；从综合实践课程切入设置专创融合试点课程，突出并强调创新创业教育的要求，促进专业教育与“三创”教育的有机整合，搭建具有专业特色的创新、创业、创造教育课程平台。编写创新创业教育教材《大学生创新创业教程》，纳入本校学生创新创业典型案例，增强教材的适应性。通过开展校内专项培训，组织校级创新创业大赛，引导、支持、鼓励学生参加创新创业实践，形成递进式的创新创业能力培养机制。</w:t>
      </w:r>
    </w:p>
    <w:p>
      <w:pPr>
        <w:pStyle w:val="4"/>
        <w:spacing w:before="140" w:after="140"/>
        <w:ind w:firstLine="643"/>
        <w:rPr>
          <w:b/>
          <w:bCs/>
          <w:lang w:val="zh-CN" w:eastAsia="zh-CN"/>
        </w:rPr>
      </w:pPr>
      <w:bookmarkStart w:id="27" w:name="_Toc151887691"/>
      <w:r>
        <w:rPr>
          <w:rFonts w:hint="eastAsia"/>
          <w:b/>
          <w:bCs/>
          <w:lang w:eastAsia="zh-CN"/>
        </w:rPr>
        <w:t>3.创新创业</w:t>
      </w:r>
      <w:r>
        <w:rPr>
          <w:rFonts w:hint="eastAsia"/>
          <w:b/>
          <w:bCs/>
          <w:lang w:val="zh-CN" w:eastAsia="zh-CN"/>
        </w:rPr>
        <w:t>实践平台建设</w:t>
      </w:r>
      <w:bookmarkEnd w:id="27"/>
    </w:p>
    <w:p>
      <w:pPr>
        <w:ind w:firstLine="640"/>
        <w:outlineLvl w:val="4"/>
        <w:rPr>
          <w:lang w:eastAsia="zh-CN"/>
        </w:rPr>
      </w:pPr>
      <w:r>
        <w:rPr>
          <w:rFonts w:hint="eastAsia"/>
          <w:lang w:eastAsia="zh-CN"/>
        </w:rPr>
        <w:t>（1）推进大学生创新创业孵化基地建设</w:t>
      </w:r>
    </w:p>
    <w:p>
      <w:pPr>
        <w:ind w:firstLine="640"/>
        <w:rPr>
          <w:lang w:val="zh-CN" w:eastAsia="zh-CN"/>
        </w:rPr>
      </w:pPr>
      <w:r>
        <w:rPr>
          <w:rFonts w:hint="eastAsia"/>
          <w:lang w:eastAsia="zh-CN"/>
        </w:rPr>
        <w:t>为给学生搭建更为全面的创新创业实践平台，促进学生创新创业，从而达到以创就业，学校于2015年9月开始筹建大学生创新创业孵化基地，</w:t>
      </w:r>
      <w:r>
        <w:rPr>
          <w:rFonts w:hint="eastAsia"/>
          <w:lang w:val="zh-CN" w:eastAsia="zh-CN"/>
        </w:rPr>
        <w:t>经学校研究决定，图书馆4楼401、402、403房间以及图书馆9楼非档案馆荣誉馆的共计1000平方米的场地用于建设学生创新创业孵化基地，</w:t>
      </w:r>
      <w:r>
        <w:rPr>
          <w:rFonts w:hint="eastAsia"/>
          <w:lang w:eastAsia="zh-CN"/>
        </w:rPr>
        <w:t>基地于2016年4月20日下午在学校举行大学生创新创业孵化基地揭牌仪式并正式运营。</w:t>
      </w:r>
      <w:r>
        <w:rPr>
          <w:rFonts w:hint="eastAsia"/>
          <w:lang w:val="zh-CN" w:eastAsia="zh-CN"/>
        </w:rPr>
        <w:t>创业孵化基地主要服务功能：为大学生创业者提供办公空间、搭建六大创业服务平台及开展相关创业活动，促进大学生成功创业，</w:t>
      </w:r>
      <w:r>
        <w:rPr>
          <w:rFonts w:hint="eastAsia"/>
          <w:lang w:eastAsia="zh-CN"/>
        </w:rPr>
        <w:t>学校2016年向海南省人力资源和社会保障厅申请创办基地基金50万元支持经费用于基地建设。</w:t>
      </w:r>
    </w:p>
    <w:p>
      <w:pPr>
        <w:ind w:firstLine="640"/>
        <w:rPr>
          <w:lang w:eastAsia="zh-CN"/>
        </w:rPr>
      </w:pPr>
      <w:r>
        <w:rPr>
          <w:rFonts w:hint="eastAsia"/>
          <w:lang w:eastAsia="zh-CN"/>
        </w:rPr>
        <w:t>2018年1月，学校大力推进大学生创新创业孵化基地的建设，学校校门建成建成4272.66平方米创新创业孵化大楼，学生入驻企业搬到孵化大楼进行企业孵化。2021年，因学校发展需要，学生入驻企业搬到图书馆八楼博士站进行孵化，目前基地内设置有标准配置办公室25间，入驻大学生创新创业孵化基地的公司有三十余家，创业项目包括网络科技、教育培训、电子商务平台、文化传媒、艺术设计、快递服务、汽车租赁等，集科技型、商务型、服务型于一体，带动了在校生和毕业生自主创业人数达780余人。</w:t>
      </w:r>
    </w:p>
    <w:p>
      <w:pPr>
        <w:ind w:firstLine="640"/>
        <w:rPr>
          <w:lang w:val="zh-CN" w:eastAsia="zh-CN"/>
        </w:rPr>
      </w:pPr>
      <w:r>
        <w:rPr>
          <w:rFonts w:hint="eastAsia"/>
          <w:lang w:val="zh-CN" w:eastAsia="zh-CN"/>
        </w:rPr>
        <w:t>学校不断加强创业实践平台建设，2022年学校大学生创新创业孵化基地被海南省人力资源和社会保障厅授予“海南（青年）公共创业孵化基地”，海南（青年）公共创业孵化基地的设立是贯彻落实《国务院办公厅关于进一步做好高校毕业生等青年就业创业工作的通知》（国办发〔202</w:t>
      </w:r>
      <w:r>
        <w:rPr>
          <w:rFonts w:hint="eastAsia"/>
          <w:lang w:eastAsia="zh-CN"/>
        </w:rPr>
        <w:t>2</w:t>
      </w:r>
      <w:r>
        <w:rPr>
          <w:rFonts w:hint="eastAsia"/>
          <w:lang w:val="zh-CN" w:eastAsia="zh-CN"/>
        </w:rPr>
        <w:t>〕13号）有关要求，发挥学校创业教育资源优势，为全校师生搭建创业孵化平台，从而促进学校毕业生高质量就业创业。</w:t>
      </w:r>
    </w:p>
    <w:p>
      <w:pPr>
        <w:ind w:firstLine="640"/>
        <w:outlineLvl w:val="4"/>
        <w:rPr>
          <w:lang w:val="zh-CN" w:eastAsia="zh-CN"/>
        </w:rPr>
      </w:pPr>
      <w:r>
        <w:rPr>
          <w:rFonts w:hint="eastAsia"/>
          <w:lang w:eastAsia="zh-CN"/>
        </w:rPr>
        <w:t>（2）各类</w:t>
      </w:r>
      <w:r>
        <w:rPr>
          <w:rFonts w:hint="eastAsia"/>
          <w:lang w:val="zh-CN" w:eastAsia="zh-CN"/>
        </w:rPr>
        <w:t>实验实训教学平台</w:t>
      </w:r>
      <w:r>
        <w:rPr>
          <w:rFonts w:hint="eastAsia"/>
          <w:lang w:eastAsia="zh-CN"/>
        </w:rPr>
        <w:t>建设</w:t>
      </w:r>
    </w:p>
    <w:p>
      <w:pPr>
        <w:ind w:firstLine="640"/>
        <w:rPr>
          <w:lang w:val="zh-CN" w:eastAsia="zh-CN"/>
        </w:rPr>
      </w:pPr>
      <w:r>
        <w:rPr>
          <w:rFonts w:hint="eastAsia"/>
          <w:lang w:val="zh-CN" w:eastAsia="zh-CN"/>
        </w:rPr>
        <w:t>学校制定了各类实验实训教学平台面向学生开放管理办法，支持学生开展创新创业实践活动，明确了具体的开放时间、使用须知等管理办法，有明确的使用情况统计数据。在各学院建设了创新创业的实验室和训练中心，如海南自由贸易港国际航运发展与物权数字化重点实验室，中央财政支持的石油化工技术专业职业教育实训基地，中国残联、教育部批准的海南省残疾人康复指导中心，海南省高校特色实训教学示范中心，海南海科石油化工产品检测中心等，给学生提供了非常好的实践平台。</w:t>
      </w:r>
    </w:p>
    <w:p>
      <w:pPr>
        <w:ind w:firstLine="640"/>
        <w:outlineLvl w:val="4"/>
        <w:rPr>
          <w:lang w:eastAsia="zh-CN"/>
        </w:rPr>
      </w:pPr>
      <w:r>
        <w:rPr>
          <w:rFonts w:hint="eastAsia"/>
          <w:lang w:eastAsia="zh-CN"/>
        </w:rPr>
        <w:t>（3）健全创新创业实践活动管理制度</w:t>
      </w:r>
    </w:p>
    <w:p>
      <w:pPr>
        <w:ind w:firstLine="640"/>
        <w:rPr>
          <w:lang w:val="zh-CN" w:eastAsia="zh-CN"/>
        </w:rPr>
      </w:pPr>
      <w:r>
        <w:rPr>
          <w:rFonts w:hint="eastAsia"/>
          <w:lang w:eastAsia="zh-CN"/>
        </w:rPr>
        <w:t>学校</w:t>
      </w:r>
      <w:r>
        <w:rPr>
          <w:rFonts w:hint="eastAsia"/>
          <w:lang w:val="zh-CN" w:eastAsia="zh-CN"/>
        </w:rPr>
        <w:t>制定了《海南科技职业大学大学生创新创业孵化基地章程》《海南科技职业大学大学生创新创业孵化基地内部管理制度》《海南科技职业大学大学生创新创业孵化基地入驻协议书》《海南科技职业大学大学生创新创业训练计划项目管理办法》等相关管理制度，为入驻企业提供了有序的管理和优质的服务。并为入驻企业提供全程跟踪服务，各项扶持政策的指导和咨询，协助办理工商注册、税务登记和银行开户等手续。</w:t>
      </w:r>
    </w:p>
    <w:p>
      <w:pPr>
        <w:ind w:firstLine="640"/>
        <w:outlineLvl w:val="4"/>
        <w:rPr>
          <w:lang w:val="zh-CN" w:eastAsia="zh-CN"/>
        </w:rPr>
      </w:pPr>
      <w:r>
        <w:rPr>
          <w:rFonts w:hint="eastAsia"/>
          <w:lang w:eastAsia="zh-CN"/>
        </w:rPr>
        <w:t>（4）创新创业培训</w:t>
      </w:r>
      <w:r>
        <w:rPr>
          <w:rFonts w:hint="eastAsia"/>
          <w:lang w:val="zh-CN" w:eastAsia="zh-CN"/>
        </w:rPr>
        <w:t>培养学生创新意识</w:t>
      </w:r>
    </w:p>
    <w:p>
      <w:pPr>
        <w:ind w:firstLine="640"/>
        <w:rPr>
          <w:lang w:val="zh-CN" w:eastAsia="zh-CN"/>
        </w:rPr>
      </w:pPr>
      <w:r>
        <w:rPr>
          <w:rFonts w:hint="eastAsia"/>
          <w:lang w:val="zh-CN" w:eastAsia="zh-CN"/>
        </w:rPr>
        <w:t>每年由教育部、省教育厅、省人社厅等多个上级部门例行组织开展各种主题的创业大赛。学生通过赛事平台，在语言表达、文字能力、专业知识等领域都综合提升。</w:t>
      </w:r>
      <w:r>
        <w:rPr>
          <w:rFonts w:hint="eastAsia"/>
          <w:lang w:eastAsia="zh-CN"/>
        </w:rPr>
        <w:t>近两年，学校</w:t>
      </w:r>
      <w:r>
        <w:rPr>
          <w:rFonts w:hint="eastAsia"/>
          <w:lang w:val="zh-CN" w:eastAsia="zh-CN"/>
        </w:rPr>
        <w:t>创新</w:t>
      </w:r>
      <w:r>
        <w:rPr>
          <w:rFonts w:hint="eastAsia"/>
          <w:lang w:eastAsia="zh-CN"/>
        </w:rPr>
        <w:t>教育中心、创新教研室</w:t>
      </w:r>
      <w:r>
        <w:rPr>
          <w:rFonts w:hint="eastAsia"/>
          <w:lang w:val="zh-CN" w:eastAsia="zh-CN"/>
        </w:rPr>
        <w:t>所有教师深入学院进行大赛培训和专场讲座，共组织线上线下培训</w:t>
      </w:r>
      <w:r>
        <w:rPr>
          <w:rFonts w:hint="eastAsia"/>
          <w:lang w:eastAsia="zh-CN"/>
        </w:rPr>
        <w:t>30余</w:t>
      </w:r>
      <w:r>
        <w:rPr>
          <w:rFonts w:hint="eastAsia"/>
          <w:lang w:val="zh-CN" w:eastAsia="zh-CN"/>
        </w:rPr>
        <w:t>场，实现了全面发动全员参与的比赛效果。多次邀请省内外专家对学校学生开展创新创业培训及其他技能培训，假期、平时线上进行无限制指导和培训。尤其是省内几位著名金牌创业导师陈明锐、宋军、单晓梅等多次通过视频及走进校内进行讲解和指导。有效调动学生们的创新创业兴趣，并引导学生更好地参与到大赛当中去。</w:t>
      </w:r>
    </w:p>
    <w:p>
      <w:pPr>
        <w:ind w:firstLine="640"/>
        <w:outlineLvl w:val="4"/>
        <w:rPr>
          <w:lang w:val="zh-CN" w:eastAsia="zh-CN"/>
        </w:rPr>
      </w:pPr>
      <w:r>
        <w:rPr>
          <w:rFonts w:hint="eastAsia"/>
          <w:lang w:val="zh-CN" w:eastAsia="zh-CN"/>
        </w:rPr>
        <w:t>⑤坚持协同推进，强化实践育人</w:t>
      </w:r>
    </w:p>
    <w:p>
      <w:pPr>
        <w:ind w:firstLine="640"/>
        <w:rPr>
          <w:lang w:eastAsia="zh-CN"/>
        </w:rPr>
      </w:pPr>
      <w:r>
        <w:rPr>
          <w:rFonts w:hint="eastAsia"/>
          <w:lang w:val="zh-CN" w:eastAsia="zh-CN"/>
        </w:rPr>
        <w:t>学校积极组织学生参加各类创新创业的专题竞赛，通过各个创业大赛平台创业实践活动从而提升学生的创新技能。学生以创业项目为载体，以解决真实的社会问题为导向，跨学科跨专业组建创业团队，参与创业实践活动，通过竞赛推动孵化一批高质量创业项目。</w:t>
      </w:r>
    </w:p>
    <w:p>
      <w:pPr>
        <w:pStyle w:val="3"/>
        <w:ind w:firstLine="643"/>
        <w:rPr>
          <w:lang w:eastAsia="zh-CN"/>
        </w:rPr>
      </w:pPr>
      <w:bookmarkStart w:id="28" w:name="_Toc151887692"/>
      <w:r>
        <w:rPr>
          <w:lang w:eastAsia="zh-CN"/>
        </w:rPr>
        <w:t>（四）进一步提升就业指导服务</w:t>
      </w:r>
      <w:bookmarkEnd w:id="28"/>
    </w:p>
    <w:p>
      <w:pPr>
        <w:ind w:firstLine="640"/>
        <w:rPr>
          <w:lang w:eastAsia="zh-CN"/>
        </w:rPr>
      </w:pPr>
      <w:r>
        <w:rPr>
          <w:rFonts w:hint="eastAsia"/>
          <w:lang w:val="zh-CN" w:eastAsia="zh-CN"/>
        </w:rPr>
        <w:t>为做好学校</w:t>
      </w:r>
      <w:r>
        <w:rPr>
          <w:rFonts w:hint="eastAsia"/>
          <w:lang w:eastAsia="zh-CN"/>
        </w:rPr>
        <w:t>的</w:t>
      </w:r>
      <w:r>
        <w:rPr>
          <w:rFonts w:hint="eastAsia"/>
          <w:lang w:val="zh-CN" w:eastAsia="zh-CN"/>
        </w:rPr>
        <w:t>毕业就业指导活动，为同学们提供精准推送就业服务，送政策、送岗位、送指导、送面试技巧、切实增强毕业生的择业技巧，提高毕业生就业能力。学校20</w:t>
      </w:r>
      <w:r>
        <w:rPr>
          <w:rFonts w:hint="eastAsia"/>
          <w:lang w:eastAsia="zh-CN"/>
        </w:rPr>
        <w:t>22</w:t>
      </w:r>
      <w:r>
        <w:rPr>
          <w:rFonts w:hint="eastAsia"/>
          <w:lang w:val="zh-CN" w:eastAsia="zh-CN"/>
        </w:rPr>
        <w:t>年</w:t>
      </w:r>
      <w:r>
        <w:rPr>
          <w:rFonts w:hint="eastAsia"/>
          <w:lang w:eastAsia="zh-CN"/>
        </w:rPr>
        <w:t>6月</w:t>
      </w:r>
      <w:r>
        <w:rPr>
          <w:rFonts w:hint="eastAsia"/>
          <w:lang w:val="zh-CN" w:eastAsia="zh-CN"/>
        </w:rPr>
        <w:t>举办了就业</w:t>
      </w:r>
      <w:r>
        <w:rPr>
          <w:rFonts w:hint="eastAsia"/>
          <w:lang w:eastAsia="zh-CN"/>
        </w:rPr>
        <w:t>指导进校园</w:t>
      </w:r>
      <w:r>
        <w:rPr>
          <w:rFonts w:hint="eastAsia"/>
          <w:lang w:val="zh-CN" w:eastAsia="zh-CN"/>
        </w:rPr>
        <w:t>活动，20</w:t>
      </w:r>
      <w:r>
        <w:rPr>
          <w:rFonts w:hint="eastAsia"/>
          <w:lang w:eastAsia="zh-CN"/>
        </w:rPr>
        <w:t>22</w:t>
      </w:r>
      <w:r>
        <w:rPr>
          <w:rFonts w:hint="eastAsia"/>
          <w:lang w:val="zh-CN" w:eastAsia="zh-CN"/>
        </w:rPr>
        <w:t>年</w:t>
      </w:r>
      <w:r>
        <w:rPr>
          <w:rFonts w:hint="eastAsia"/>
          <w:lang w:eastAsia="zh-CN"/>
        </w:rPr>
        <w:t>4月份</w:t>
      </w:r>
      <w:r>
        <w:rPr>
          <w:rFonts w:hint="eastAsia"/>
          <w:lang w:val="zh-CN" w:eastAsia="zh-CN"/>
        </w:rPr>
        <w:t>共为学生</w:t>
      </w:r>
      <w:r>
        <w:rPr>
          <w:rFonts w:hint="eastAsia"/>
          <w:lang w:eastAsia="zh-CN"/>
        </w:rPr>
        <w:t>发布了</w:t>
      </w:r>
      <w:r>
        <w:rPr>
          <w:rFonts w:hint="eastAsia"/>
          <w:lang w:val="zh-CN" w:eastAsia="zh-CN"/>
        </w:rPr>
        <w:t>6场</w:t>
      </w:r>
      <w:r>
        <w:rPr>
          <w:rFonts w:hint="eastAsia"/>
          <w:lang w:eastAsia="zh-CN"/>
        </w:rPr>
        <w:t>就业相关政策宣传</w:t>
      </w:r>
      <w:r>
        <w:rPr>
          <w:rFonts w:hint="eastAsia"/>
          <w:lang w:val="zh-CN" w:eastAsia="zh-CN"/>
        </w:rPr>
        <w:t>，</w:t>
      </w:r>
      <w:r>
        <w:rPr>
          <w:rFonts w:hint="eastAsia"/>
          <w:lang w:eastAsia="zh-CN"/>
        </w:rPr>
        <w:t>同时也开展了普法宣传进校园活动、高校毕业生留才专项活动，</w:t>
      </w:r>
      <w:r>
        <w:rPr>
          <w:rFonts w:hint="eastAsia"/>
          <w:lang w:val="zh-CN" w:eastAsia="zh-CN"/>
        </w:rPr>
        <w:t>通过此次活动,帮助学校毕业生更了解就业创业政策的相关知识，也收获了求职技巧和职场新人法典自身优势，为毕业生将来就业和创业奠定基础。</w:t>
      </w:r>
    </w:p>
    <w:p>
      <w:pPr>
        <w:ind w:firstLine="640"/>
        <w:rPr>
          <w:lang w:eastAsia="zh-CN"/>
        </w:rPr>
        <w:sectPr>
          <w:footerReference r:id="rId11" w:type="default"/>
          <w:pgSz w:w="11906" w:h="16839"/>
          <w:pgMar w:top="1440" w:right="1080" w:bottom="1440" w:left="1080" w:header="0" w:footer="992" w:gutter="0"/>
          <w:pgNumType w:start="1"/>
          <w:cols w:space="720" w:num="1"/>
        </w:sectPr>
      </w:pPr>
    </w:p>
    <w:p>
      <w:pPr>
        <w:ind w:firstLine="0" w:firstLineChars="0"/>
        <w:jc w:val="center"/>
        <w:outlineLvl w:val="0"/>
        <w:rPr>
          <w:rFonts w:ascii="宋体" w:hAnsi="宋体" w:eastAsia="宋体" w:cs="宋体"/>
          <w:spacing w:val="10"/>
          <w:sz w:val="43"/>
          <w:szCs w:val="43"/>
          <w:lang w:eastAsia="zh-CN"/>
          <w14:textOutline w14:w="7975" w14:cap="sq" w14:cmpd="sng" w14:algn="ctr">
            <w14:solidFill>
              <w14:srgbClr w14:val="000000"/>
            </w14:solidFill>
            <w14:prstDash w14:val="solid"/>
            <w14:bevel/>
          </w14:textOutline>
        </w:rPr>
      </w:pPr>
      <w:bookmarkStart w:id="29" w:name="_Toc151887693"/>
      <w:r>
        <w:rPr>
          <w:rFonts w:ascii="宋体" w:hAnsi="宋体" w:eastAsia="宋体" w:cs="宋体"/>
          <w:spacing w:val="10"/>
          <w:sz w:val="43"/>
          <w:szCs w:val="43"/>
          <w:lang w:eastAsia="zh-CN"/>
          <w14:textOutline w14:w="7975" w14:cap="sq" w14:cmpd="sng" w14:algn="ctr">
            <w14:solidFill>
              <w14:srgbClr w14:val="000000"/>
            </w14:solidFill>
            <w14:prstDash w14:val="solid"/>
            <w14:bevel/>
          </w14:textOutline>
        </w:rPr>
        <w:t>第三部分：</w:t>
      </w:r>
      <w:r>
        <w:rPr>
          <w:rFonts w:hint="eastAsia" w:ascii="宋体" w:hAnsi="宋体" w:eastAsia="宋体" w:cs="宋体"/>
          <w:spacing w:val="10"/>
          <w:sz w:val="43"/>
          <w:szCs w:val="43"/>
          <w:lang w:eastAsia="zh-CN"/>
          <w14:textOutline w14:w="7975" w14:cap="sq" w14:cmpd="sng" w14:algn="ctr">
            <w14:solidFill>
              <w14:srgbClr w14:val="000000"/>
            </w14:solidFill>
            <w14:prstDash w14:val="solid"/>
            <w14:bevel/>
          </w14:textOutline>
        </w:rPr>
        <w:t>本科毕业生就业相关分析</w:t>
      </w:r>
      <w:bookmarkEnd w:id="29"/>
    </w:p>
    <w:p>
      <w:pPr>
        <w:pBdr>
          <w:top w:val="none" w:color="000000" w:sz="0" w:space="0"/>
          <w:left w:val="none" w:color="000000" w:sz="0" w:space="0"/>
          <w:bottom w:val="none" w:color="000000" w:sz="0" w:space="0"/>
          <w:right w:val="none" w:color="000000" w:sz="0" w:space="0"/>
          <w:between w:val="none" w:color="000000" w:sz="0" w:space="0"/>
        </w:pBdr>
        <w:spacing w:before="326" w:after="163" w:line="400" w:lineRule="exact"/>
        <w:ind w:firstLine="602"/>
        <w:jc w:val="center"/>
        <w:outlineLvl w:val="1"/>
        <w:rPr>
          <w:rFonts w:eastAsia="黑体"/>
          <w:b/>
          <w:bCs/>
          <w:sz w:val="30"/>
          <w:szCs w:val="32"/>
          <w:lang w:eastAsia="zh-CN"/>
        </w:rPr>
      </w:pPr>
      <w:bookmarkStart w:id="30" w:name="_Toc151887694"/>
      <w:bookmarkStart w:id="31" w:name="_Toc130307069"/>
      <w:bookmarkStart w:id="32" w:name="_Toc129680109"/>
      <w:bookmarkStart w:id="33" w:name="_Toc527387991"/>
      <w:bookmarkStart w:id="34" w:name="_Toc148372400"/>
      <w:bookmarkStart w:id="35" w:name="_Toc126592334"/>
      <w:r>
        <w:rPr>
          <w:rFonts w:hint="eastAsia" w:eastAsia="黑体"/>
          <w:b/>
          <w:bCs/>
          <w:sz w:val="30"/>
          <w:szCs w:val="32"/>
          <w:lang w:eastAsia="zh-CN"/>
        </w:rPr>
        <w:t>第一章：就业竞争力分析</w:t>
      </w:r>
      <w:bookmarkEnd w:id="30"/>
    </w:p>
    <w:p>
      <w:pPr>
        <w:pStyle w:val="2"/>
        <w:ind w:firstLine="640"/>
        <w:rPr>
          <w:lang w:eastAsia="zh-CN"/>
        </w:rPr>
      </w:pPr>
      <w:bookmarkStart w:id="36" w:name="_Toc151887695"/>
      <w:r>
        <w:rPr>
          <w:lang w:eastAsia="zh-CN"/>
        </w:rPr>
        <w:t>一、</w:t>
      </w:r>
      <w:r>
        <w:rPr>
          <w:rFonts w:hint="eastAsia"/>
          <w:lang w:eastAsia="zh-CN"/>
        </w:rPr>
        <w:t>本科毕业去向落实率</w:t>
      </w:r>
      <w:bookmarkEnd w:id="36"/>
    </w:p>
    <w:p>
      <w:pPr>
        <w:ind w:firstLine="640"/>
        <w:rPr>
          <w:lang w:val="zh-CN" w:eastAsia="zh-CN"/>
        </w:rPr>
      </w:pPr>
      <w:r>
        <w:rPr>
          <w:rFonts w:hint="eastAsia"/>
          <w:lang w:val="zh-CN" w:eastAsia="zh-CN"/>
        </w:rPr>
        <w:t>本校2022届本科毕业生最终毕业去向落实率</w:t>
      </w:r>
      <w:r>
        <w:rPr>
          <w:lang w:val="zh-CN" w:eastAsia="zh-CN"/>
        </w:rPr>
        <w:t>为</w:t>
      </w:r>
      <w:r>
        <w:rPr>
          <w:rFonts w:hint="eastAsia"/>
          <w:lang w:val="zh-CN" w:eastAsia="zh-CN"/>
        </w:rPr>
        <w:t>98.97%，比</w:t>
      </w:r>
      <w:r>
        <w:rPr>
          <w:lang w:val="zh-CN" w:eastAsia="zh-CN"/>
        </w:rPr>
        <w:t>全国高校2022届毕业生</w:t>
      </w:r>
      <w:r>
        <w:rPr>
          <w:rFonts w:hint="eastAsia"/>
          <w:lang w:val="zh-CN" w:eastAsia="zh-CN"/>
        </w:rPr>
        <w:t>的调查毕业去向落实率（</w:t>
      </w:r>
      <w:r>
        <w:rPr>
          <w:lang w:val="zh-CN" w:eastAsia="zh-CN"/>
        </w:rPr>
        <w:t>79.58</w:t>
      </w:r>
      <w:r>
        <w:rPr>
          <w:rFonts w:hint="eastAsia"/>
          <w:lang w:val="zh-CN" w:eastAsia="zh-CN"/>
        </w:rPr>
        <w:t>%</w:t>
      </w:r>
      <w:r>
        <w:rPr>
          <w:lang w:val="zh-CN" w:eastAsia="zh-CN"/>
        </w:rPr>
        <w:t>）</w:t>
      </w:r>
      <w:r>
        <w:rPr>
          <w:rFonts w:hint="eastAsia"/>
          <w:lang w:val="zh-CN" w:eastAsia="zh-CN"/>
        </w:rPr>
        <w:t>高19.39个百分点</w:t>
      </w:r>
      <w:r>
        <w:rPr>
          <w:lang w:val="zh-CN" w:eastAsia="zh-CN"/>
        </w:rPr>
        <w:t>。</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4"/>
          <w:szCs w:val="24"/>
          <w:lang w:eastAsia="zh-CN"/>
        </w:rPr>
      </w:pPr>
      <w:r>
        <w:rPr>
          <w:rFonts w:eastAsia="宋体"/>
          <w:snapToGrid/>
          <w:color w:val="2588A4"/>
          <w:sz w:val="24"/>
          <w:lang w:eastAsia="zh-CN"/>
        </w:rPr>
        <w:drawing>
          <wp:inline distT="0" distB="0" distL="0" distR="0">
            <wp:extent cx="4648200" cy="1905000"/>
            <wp:effectExtent l="0" t="0" r="0" b="0"/>
            <wp:docPr id="54" name="图表 9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pBdr>
          <w:top w:val="none" w:color="000000" w:sz="0" w:space="0"/>
          <w:left w:val="none" w:color="000000" w:sz="0" w:space="0"/>
          <w:bottom w:val="none" w:color="000000" w:sz="0" w:space="0"/>
          <w:right w:val="none" w:color="000000" w:sz="0" w:space="0"/>
          <w:between w:val="none" w:color="000000" w:sz="0" w:space="0"/>
        </w:pBdr>
        <w:ind w:firstLine="422"/>
        <w:jc w:val="center"/>
        <w:rPr>
          <w:rFonts w:eastAsia="黑体"/>
          <w:b/>
          <w:bCs/>
          <w:sz w:val="21"/>
          <w:szCs w:val="20"/>
          <w:lang w:eastAsia="zh-CN"/>
        </w:rPr>
      </w:pPr>
      <w:r>
        <w:rPr>
          <w:rFonts w:hint="eastAsia" w:eastAsia="黑体"/>
          <w:b/>
          <w:bCs/>
          <w:sz w:val="21"/>
          <w:szCs w:val="20"/>
          <w:lang w:eastAsia="zh-CN"/>
        </w:rPr>
        <w:t>图3.1</w:t>
      </w:r>
      <w:r>
        <w:rPr>
          <w:rFonts w:eastAsia="黑体"/>
          <w:b/>
          <w:bCs/>
          <w:sz w:val="21"/>
          <w:szCs w:val="20"/>
          <w:lang w:eastAsia="zh-CN"/>
        </w:rPr>
        <w:t xml:space="preserve">  2022届</w:t>
      </w:r>
      <w:r>
        <w:rPr>
          <w:rFonts w:hint="eastAsia" w:eastAsia="黑体"/>
          <w:b/>
          <w:bCs/>
          <w:sz w:val="21"/>
          <w:szCs w:val="20"/>
          <w:lang w:eastAsia="zh-CN"/>
        </w:rPr>
        <w:t>毕业生毕业去向落实率对比分析</w:t>
      </w:r>
    </w:p>
    <w:p>
      <w:pPr>
        <w:rPr>
          <w:snapToGrid/>
          <w:sz w:val="21"/>
          <w:lang w:eastAsia="zh-CN"/>
        </w:rPr>
      </w:pPr>
      <w:r>
        <w:rPr>
          <w:rFonts w:hint="eastAsia" w:ascii="仿宋" w:hAnsi="仿宋"/>
          <w:sz w:val="21"/>
          <w:lang w:eastAsia="zh-CN"/>
        </w:rPr>
        <w:t>数据来源：北京新锦成教育技术有限公司</w:t>
      </w:r>
    </w:p>
    <w:p>
      <w:pPr>
        <w:pStyle w:val="3"/>
        <w:ind w:firstLine="643"/>
        <w:rPr>
          <w:lang w:val="zh-CN" w:eastAsia="zh-CN"/>
        </w:rPr>
      </w:pPr>
      <w:bookmarkStart w:id="37" w:name="_Toc151887696"/>
      <w:r>
        <w:rPr>
          <w:rFonts w:hint="eastAsia"/>
          <w:lang w:val="zh-CN" w:eastAsia="zh-CN"/>
        </w:rPr>
        <w:t>（一）</w:t>
      </w:r>
      <w:r>
        <w:rPr>
          <w:lang w:val="zh-CN" w:eastAsia="zh-CN"/>
        </w:rPr>
        <w:t>各</w:t>
      </w:r>
      <w:r>
        <w:rPr>
          <w:rFonts w:hint="eastAsia"/>
          <w:lang w:val="zh-CN" w:eastAsia="zh-CN"/>
        </w:rPr>
        <w:t>学院</w:t>
      </w:r>
      <w:r>
        <w:rPr>
          <w:lang w:val="zh-CN" w:eastAsia="zh-CN"/>
        </w:rPr>
        <w:t>毕业去向落实率</w:t>
      </w:r>
      <w:bookmarkEnd w:id="37"/>
    </w:p>
    <w:p>
      <w:pPr>
        <w:ind w:firstLine="640"/>
        <w:rPr>
          <w:lang w:val="zh-CN" w:eastAsia="zh-CN"/>
        </w:rPr>
      </w:pPr>
      <w:r>
        <w:rPr>
          <w:rFonts w:hint="eastAsia"/>
          <w:lang w:val="zh-CN" w:eastAsia="zh-CN"/>
        </w:rPr>
        <w:t>各学院</w:t>
      </w:r>
      <w:r>
        <w:rPr>
          <w:lang w:val="zh-CN" w:eastAsia="zh-CN"/>
        </w:rPr>
        <w:t>毕业去向落实率：</w:t>
      </w:r>
      <w:r>
        <w:rPr>
          <w:rFonts w:hint="eastAsia"/>
          <w:lang w:val="zh-CN" w:eastAsia="zh-CN"/>
        </w:rPr>
        <w:t>各学院调查毕业去向落实率及最终毕业去向落实率对比情况如下表：</w:t>
      </w:r>
    </w:p>
    <w:p>
      <w:pPr>
        <w:pBdr>
          <w:top w:val="none" w:color="000000" w:sz="0" w:space="0"/>
          <w:left w:val="none" w:color="000000" w:sz="0" w:space="0"/>
          <w:bottom w:val="none" w:color="000000" w:sz="0" w:space="0"/>
          <w:right w:val="none" w:color="000000" w:sz="0" w:space="0"/>
          <w:between w:val="none" w:color="000000" w:sz="0" w:space="0"/>
        </w:pBdr>
        <w:spacing w:line="360" w:lineRule="auto"/>
        <w:ind w:firstLine="480"/>
        <w:jc w:val="center"/>
        <w:rPr>
          <w:rFonts w:eastAsia="Calibri" w:cs="宋体"/>
          <w:bCs/>
          <w:sz w:val="24"/>
          <w:lang w:eastAsia="zh-CN"/>
        </w:rPr>
      </w:pPr>
      <w:r>
        <w:rPr>
          <w:rFonts w:eastAsia="Calibri" w:cs="宋体"/>
          <w:color w:val="10CF9B"/>
          <w:sz w:val="24"/>
          <w:lang w:eastAsia="zh-CN"/>
        </w:rPr>
        <w:drawing>
          <wp:inline distT="0" distB="0" distL="0" distR="0">
            <wp:extent cx="5537200" cy="3346450"/>
            <wp:effectExtent l="0" t="0" r="0" b="6350"/>
            <wp:docPr id="55" name="图表 9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宋体"/>
          <w:b/>
          <w:sz w:val="24"/>
          <w:szCs w:val="24"/>
          <w:lang w:eastAsia="zh-CN"/>
        </w:rPr>
      </w:pPr>
      <w:bookmarkStart w:id="38" w:name="_Toc509483437"/>
      <w:bookmarkStart w:id="39" w:name="_Toc129867327"/>
      <w:bookmarkStart w:id="40" w:name="_Toc509389317"/>
      <w:r>
        <w:rPr>
          <w:rFonts w:hint="eastAsia" w:eastAsia="黑体"/>
          <w:b/>
          <w:sz w:val="21"/>
          <w:lang w:eastAsia="zh-CN"/>
        </w:rPr>
        <w:t>图3.2</w:t>
      </w:r>
      <w:r>
        <w:rPr>
          <w:rFonts w:eastAsia="黑体"/>
          <w:b/>
          <w:sz w:val="21"/>
          <w:lang w:eastAsia="zh-CN"/>
        </w:rPr>
        <w:t xml:space="preserve"> </w:t>
      </w:r>
      <w:r>
        <w:rPr>
          <w:rFonts w:hint="eastAsia" w:eastAsia="宋体"/>
          <w:b/>
          <w:sz w:val="24"/>
          <w:szCs w:val="24"/>
          <w:lang w:eastAsia="zh-CN"/>
        </w:rPr>
        <w:t>各学院</w:t>
      </w:r>
      <w:r>
        <w:rPr>
          <w:rFonts w:eastAsia="宋体"/>
          <w:b/>
          <w:sz w:val="24"/>
          <w:szCs w:val="24"/>
          <w:lang w:eastAsia="zh-CN"/>
        </w:rPr>
        <w:t>2022届</w:t>
      </w:r>
      <w:r>
        <w:rPr>
          <w:rFonts w:hint="eastAsia" w:eastAsia="宋体"/>
          <w:b/>
          <w:sz w:val="24"/>
          <w:szCs w:val="24"/>
          <w:lang w:eastAsia="zh-CN"/>
        </w:rPr>
        <w:t>毕业生</w:t>
      </w:r>
      <w:r>
        <w:rPr>
          <w:rFonts w:eastAsia="宋体"/>
          <w:b/>
          <w:sz w:val="24"/>
          <w:szCs w:val="24"/>
          <w:lang w:eastAsia="zh-CN"/>
        </w:rPr>
        <w:t>的调查毕业去向落实率分布</w:t>
      </w:r>
      <w:bookmarkEnd w:id="38"/>
      <w:bookmarkEnd w:id="39"/>
      <w:bookmarkEnd w:id="40"/>
    </w:p>
    <w:p>
      <w:pPr>
        <w:rPr>
          <w:snapToGrid/>
          <w:sz w:val="21"/>
          <w:lang w:eastAsia="zh-CN"/>
        </w:rPr>
      </w:pPr>
      <w:r>
        <w:rPr>
          <w:rFonts w:hint="eastAsia" w:ascii="仿宋" w:hAnsi="仿宋"/>
          <w:sz w:val="21"/>
          <w:lang w:eastAsia="zh-CN"/>
        </w:rPr>
        <w:t>数据来源：北京新锦成教育技术有限公司</w:t>
      </w:r>
    </w:p>
    <w:p>
      <w:pPr>
        <w:pStyle w:val="3"/>
        <w:ind w:firstLine="643"/>
        <w:rPr>
          <w:lang w:val="zh-CN" w:eastAsia="zh-CN"/>
        </w:rPr>
      </w:pPr>
      <w:bookmarkStart w:id="41" w:name="_Toc151887697"/>
      <w:r>
        <w:rPr>
          <w:rFonts w:hint="eastAsia"/>
          <w:lang w:val="zh-CN" w:eastAsia="zh-CN"/>
        </w:rPr>
        <w:t>（二）</w:t>
      </w:r>
      <w:r>
        <w:rPr>
          <w:lang w:val="zh-CN" w:eastAsia="zh-CN"/>
        </w:rPr>
        <w:t>各</w:t>
      </w:r>
      <w:r>
        <w:rPr>
          <w:rFonts w:hint="eastAsia"/>
          <w:lang w:val="zh-CN" w:eastAsia="zh-CN"/>
        </w:rPr>
        <w:t>专业</w:t>
      </w:r>
      <w:r>
        <w:rPr>
          <w:lang w:val="zh-CN" w:eastAsia="zh-CN"/>
        </w:rPr>
        <w:t>毕业去向落实率</w:t>
      </w:r>
      <w:bookmarkEnd w:id="41"/>
    </w:p>
    <w:p>
      <w:pPr>
        <w:ind w:firstLine="640"/>
        <w:rPr>
          <w:lang w:val="zh-CN" w:eastAsia="zh-CN"/>
        </w:rPr>
      </w:pPr>
      <w:r>
        <w:rPr>
          <w:rFonts w:hint="eastAsia"/>
          <w:lang w:val="zh-CN" w:eastAsia="zh-CN"/>
        </w:rPr>
        <w:t>各</w:t>
      </w:r>
      <w:r>
        <w:rPr>
          <w:lang w:val="zh-CN" w:eastAsia="zh-CN"/>
        </w:rPr>
        <w:t>专业</w:t>
      </w:r>
      <w:r>
        <w:rPr>
          <w:rFonts w:hint="eastAsia"/>
          <w:lang w:val="zh-CN" w:eastAsia="zh-CN"/>
        </w:rPr>
        <w:t>本科毕业生调研毕业</w:t>
      </w:r>
      <w:r>
        <w:rPr>
          <w:lang w:val="zh-CN" w:eastAsia="zh-CN"/>
        </w:rPr>
        <w:t>去向落实率</w:t>
      </w:r>
      <w:r>
        <w:rPr>
          <w:rFonts w:hint="eastAsia"/>
          <w:lang w:val="zh-CN" w:eastAsia="zh-CN"/>
        </w:rPr>
        <w:t>及最终毕业去向落实率对比情况如下</w:t>
      </w:r>
      <w:r>
        <w:rPr>
          <w:lang w:val="zh-CN" w:eastAsia="zh-CN"/>
        </w:rPr>
        <w:t>：</w:t>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42" w:name="_Toc129867328"/>
      <w:r>
        <w:rPr>
          <w:rFonts w:hint="eastAsia" w:eastAsia="黑体"/>
          <w:b/>
          <w:sz w:val="21"/>
          <w:lang w:eastAsia="zh-CN"/>
        </w:rPr>
        <w:t>表3.</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表1-2-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1</w:t>
      </w:r>
      <w:r>
        <w:rPr>
          <w:rFonts w:eastAsia="黑体"/>
          <w:b/>
          <w:sz w:val="21"/>
          <w:lang w:eastAsia="zh-CN"/>
        </w:rPr>
        <w:fldChar w:fldCharType="end"/>
      </w:r>
      <w:r>
        <w:rPr>
          <w:rFonts w:eastAsia="黑体"/>
          <w:b/>
          <w:sz w:val="21"/>
          <w:lang w:eastAsia="zh-CN"/>
        </w:rPr>
        <w:t xml:space="preserve">  </w:t>
      </w:r>
      <w:r>
        <w:rPr>
          <w:rFonts w:eastAsia="宋体"/>
          <w:b/>
          <w:sz w:val="24"/>
          <w:szCs w:val="24"/>
          <w:lang w:eastAsia="zh-CN"/>
        </w:rPr>
        <w:t>各专业2022届</w:t>
      </w:r>
      <w:r>
        <w:rPr>
          <w:rFonts w:hint="eastAsia" w:eastAsia="宋体"/>
          <w:b/>
          <w:sz w:val="24"/>
          <w:szCs w:val="24"/>
          <w:lang w:eastAsia="zh-CN"/>
        </w:rPr>
        <w:t>本科毕业生</w:t>
      </w:r>
      <w:r>
        <w:rPr>
          <w:rFonts w:eastAsia="宋体"/>
          <w:b/>
          <w:sz w:val="24"/>
          <w:szCs w:val="24"/>
          <w:lang w:eastAsia="zh-CN"/>
        </w:rPr>
        <w:t>的毕业去向落实率</w:t>
      </w:r>
      <w:r>
        <w:rPr>
          <w:rFonts w:hint="eastAsia" w:eastAsia="宋体"/>
          <w:b/>
          <w:sz w:val="24"/>
          <w:szCs w:val="24"/>
          <w:lang w:eastAsia="zh-CN"/>
        </w:rPr>
        <w:t>分布</w:t>
      </w:r>
      <w:bookmarkEnd w:id="42"/>
    </w:p>
    <w:tbl>
      <w:tblPr>
        <w:tblStyle w:val="30"/>
        <w:tblW w:w="5000" w:type="pct"/>
        <w:jc w:val="cente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3320"/>
        <w:gridCol w:w="3321"/>
        <w:gridCol w:w="3321"/>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jc w:val="center"/>
        </w:trPr>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color w:val="CCE8CF"/>
                <w:sz w:val="21"/>
                <w:lang w:eastAsia="zh-CN"/>
              </w:rPr>
            </w:pPr>
            <w:r>
              <w:rPr>
                <w:rFonts w:hint="eastAsia" w:ascii="宋体" w:hAnsi="宋体" w:eastAsia="宋体" w:cs="宋体"/>
                <w:b/>
                <w:bCs/>
                <w:snapToGrid/>
                <w:color w:val="CCE8CF"/>
                <w:sz w:val="21"/>
                <w:lang w:eastAsia="zh-CN"/>
              </w:rPr>
              <w:t>专业</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color w:val="CCE8CF"/>
                <w:sz w:val="21"/>
                <w:lang w:eastAsia="zh-CN"/>
              </w:rPr>
            </w:pPr>
            <w:r>
              <w:rPr>
                <w:rFonts w:hint="eastAsia" w:ascii="宋体" w:hAnsi="宋体" w:eastAsia="宋体" w:cs="宋体"/>
                <w:b/>
                <w:bCs/>
                <w:snapToGrid/>
                <w:color w:val="CCE8CF"/>
                <w:sz w:val="21"/>
                <w:lang w:eastAsia="zh-CN"/>
              </w:rPr>
              <w:t>调查毕业去向落实率</w:t>
            </w:r>
          </w:p>
        </w:tc>
        <w:tc>
          <w:tcPr>
            <w:tcW w:w="0" w:type="auto"/>
            <w:shd w:val="clear" w:color="auto" w:fill="5E98D8"/>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b w:val="0"/>
                <w:bCs w:val="0"/>
                <w:snapToGrid/>
                <w:color w:val="CCE8CF"/>
                <w:sz w:val="21"/>
                <w:lang w:eastAsia="zh-CN"/>
              </w:rPr>
            </w:pPr>
            <w:r>
              <w:rPr>
                <w:rFonts w:hint="eastAsia" w:ascii="宋体" w:hAnsi="宋体" w:eastAsia="宋体" w:cs="宋体"/>
                <w:b/>
                <w:bCs/>
                <w:snapToGrid/>
                <w:color w:val="CCE8CF"/>
                <w:sz w:val="21"/>
                <w:lang w:eastAsia="zh-CN"/>
              </w:rPr>
              <w:t>最终毕业去向落实率</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制药工程</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100.00%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护理</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92.86%</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大数据技术与应用</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82.35%</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土木工程</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78.57%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健康服务与管理</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76.92%</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化学工程与工艺</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100.00%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水路运输与海事管理</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100.00%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航海技术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100.00%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物联网工程</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80.00%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97.30%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机械设计制造类</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91.67%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95.00%</w:t>
            </w:r>
          </w:p>
        </w:tc>
      </w:tr>
    </w:tbl>
    <w:p>
      <w:pPr>
        <w:rPr>
          <w:snapToGrid/>
          <w:sz w:val="21"/>
          <w:lang w:eastAsia="zh-CN"/>
        </w:rPr>
      </w:pPr>
      <w:r>
        <w:rPr>
          <w:rFonts w:hint="eastAsia" w:ascii="仿宋" w:hAnsi="仿宋"/>
          <w:sz w:val="21"/>
          <w:lang w:eastAsia="zh-CN"/>
        </w:rPr>
        <w:t>数据来源：北京新锦成教育技术有限公司</w:t>
      </w:r>
    </w:p>
    <w:p>
      <w:pPr>
        <w:pStyle w:val="2"/>
        <w:ind w:firstLine="640"/>
        <w:rPr>
          <w:lang w:eastAsia="zh-CN"/>
        </w:rPr>
      </w:pPr>
      <w:bookmarkStart w:id="43" w:name="_Toc151887698"/>
      <w:r>
        <w:rPr>
          <w:rFonts w:hint="eastAsia"/>
          <w:lang w:eastAsia="zh-CN"/>
        </w:rPr>
        <w:t>二</w:t>
      </w:r>
      <w:r>
        <w:rPr>
          <w:lang w:eastAsia="zh-CN"/>
        </w:rPr>
        <w:t>、</w:t>
      </w:r>
      <w:r>
        <w:rPr>
          <w:rFonts w:hint="eastAsia"/>
          <w:lang w:eastAsia="zh-CN"/>
        </w:rPr>
        <w:t>毕业去向</w:t>
      </w:r>
      <w:bookmarkEnd w:id="43"/>
    </w:p>
    <w:p>
      <w:pPr>
        <w:ind w:firstLine="640"/>
        <w:rPr>
          <w:lang w:eastAsia="zh-CN"/>
        </w:rPr>
      </w:pPr>
      <w:r>
        <w:rPr>
          <w:rFonts w:hint="eastAsia"/>
          <w:lang w:eastAsia="zh-CN"/>
        </w:rPr>
        <w:t>2022届毕业生</w:t>
      </w:r>
      <w:r>
        <w:rPr>
          <w:lang w:eastAsia="zh-CN"/>
        </w:rPr>
        <w:t>毕业去向</w:t>
      </w:r>
      <w:r>
        <w:rPr>
          <w:rFonts w:hint="eastAsia"/>
          <w:lang w:eastAsia="zh-CN"/>
        </w:rPr>
        <w:t>以</w:t>
      </w:r>
      <w:r>
        <w:rPr>
          <w:rFonts w:hint="eastAsia"/>
          <w:lang w:val="zh-CN" w:eastAsia="zh-CN"/>
        </w:rPr>
        <w:t>“国内工作”（74.31%）</w:t>
      </w:r>
      <w:r>
        <w:rPr>
          <w:rFonts w:hint="eastAsia"/>
          <w:lang w:eastAsia="zh-CN"/>
        </w:rPr>
        <w:t>为主</w:t>
      </w:r>
      <w:r>
        <w:rPr>
          <w:lang w:eastAsia="zh-CN"/>
        </w:rPr>
        <w:t>，</w:t>
      </w:r>
      <w:r>
        <w:rPr>
          <w:rFonts w:hint="eastAsia"/>
          <w:lang w:val="zh-CN" w:eastAsia="zh-CN"/>
        </w:rPr>
        <w:t>“未就业”（13.19%）</w:t>
      </w:r>
      <w:r>
        <w:rPr>
          <w:rFonts w:hint="eastAsia"/>
          <w:lang w:eastAsia="zh-CN"/>
        </w:rPr>
        <w:t>次之</w:t>
      </w:r>
      <w:r>
        <w:rPr>
          <w:lang w:eastAsia="zh-CN"/>
        </w:rPr>
        <w:t>；其中“</w:t>
      </w:r>
      <w:r>
        <w:rPr>
          <w:rFonts w:hint="eastAsia"/>
          <w:lang w:eastAsia="zh-CN"/>
        </w:rPr>
        <w:t>国内</w:t>
      </w:r>
      <w:r>
        <w:rPr>
          <w:lang w:eastAsia="zh-CN"/>
        </w:rPr>
        <w:t>工作”</w:t>
      </w:r>
      <w:r>
        <w:rPr>
          <w:rFonts w:hint="eastAsia"/>
          <w:lang w:eastAsia="zh-CN"/>
        </w:rPr>
        <w:t>比例</w:t>
      </w:r>
      <w:r>
        <w:rPr>
          <w:lang w:eastAsia="zh-CN"/>
        </w:rPr>
        <w:t>比全国高校2022</w:t>
      </w:r>
      <w:r>
        <w:rPr>
          <w:rFonts w:hint="eastAsia"/>
          <w:lang w:eastAsia="zh-CN"/>
        </w:rPr>
        <w:t>届</w:t>
      </w:r>
      <w:r>
        <w:rPr>
          <w:lang w:eastAsia="zh-CN"/>
        </w:rPr>
        <w:t>毕业生高24.60</w:t>
      </w:r>
      <w:r>
        <w:rPr>
          <w:rFonts w:hint="eastAsia"/>
          <w:lang w:eastAsia="zh-CN"/>
        </w:rPr>
        <w:t>个百分点；</w:t>
      </w:r>
      <w:r>
        <w:rPr>
          <w:lang w:eastAsia="zh-CN"/>
        </w:rPr>
        <w:t>而“</w:t>
      </w:r>
      <w:r>
        <w:rPr>
          <w:rFonts w:hint="eastAsia"/>
          <w:lang w:eastAsia="zh-CN"/>
        </w:rPr>
        <w:t>国内求学</w:t>
      </w:r>
      <w:r>
        <w:rPr>
          <w:lang w:eastAsia="zh-CN"/>
        </w:rPr>
        <w:t>”</w:t>
      </w:r>
      <w:r>
        <w:rPr>
          <w:rFonts w:hint="eastAsia"/>
          <w:lang w:eastAsia="zh-CN"/>
        </w:rPr>
        <w:t>比例</w:t>
      </w:r>
      <w:r>
        <w:rPr>
          <w:lang w:eastAsia="zh-CN"/>
        </w:rPr>
        <w:t>比全国高校2022</w:t>
      </w:r>
      <w:r>
        <w:rPr>
          <w:rFonts w:hint="eastAsia"/>
          <w:lang w:eastAsia="zh-CN"/>
        </w:rPr>
        <w:t>届毕业生</w:t>
      </w:r>
      <w:r>
        <w:rPr>
          <w:lang w:eastAsia="zh-CN"/>
        </w:rPr>
        <w:t>低21.04</w:t>
      </w:r>
      <w:r>
        <w:rPr>
          <w:rFonts w:hint="eastAsia"/>
          <w:lang w:eastAsia="zh-CN"/>
        </w:rPr>
        <w:t>个百分点。</w:t>
      </w:r>
    </w:p>
    <w:p>
      <w:pPr>
        <w:pBdr>
          <w:top w:val="none" w:color="000000" w:sz="0" w:space="0"/>
          <w:left w:val="none" w:color="000000" w:sz="0" w:space="0"/>
          <w:bottom w:val="none" w:color="000000" w:sz="0" w:space="0"/>
          <w:right w:val="none" w:color="000000" w:sz="0" w:space="0"/>
          <w:between w:val="none" w:color="000000" w:sz="0" w:space="0"/>
        </w:pBdr>
        <w:spacing w:line="360" w:lineRule="auto"/>
        <w:ind w:firstLine="480"/>
        <w:jc w:val="center"/>
        <w:rPr>
          <w:rFonts w:eastAsia="Calibri"/>
          <w:color w:val="auto"/>
          <w:sz w:val="24"/>
          <w:lang w:eastAsia="zh-CN"/>
        </w:rPr>
      </w:pPr>
      <w:r>
        <w:rPr>
          <w:rFonts w:eastAsia="Calibri" w:cs="宋体"/>
          <w:sz w:val="24"/>
          <w:lang w:eastAsia="zh-CN"/>
        </w:rPr>
        <w:drawing>
          <wp:inline distT="0" distB="0" distL="0" distR="0">
            <wp:extent cx="5200650" cy="1771650"/>
            <wp:effectExtent l="5080" t="4445" r="13970" b="14605"/>
            <wp:docPr id="56"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44" w:name="_Toc129867330"/>
      <w:bookmarkStart w:id="45" w:name="_Toc509389319"/>
      <w:bookmarkStart w:id="46" w:name="_Toc509483439"/>
      <w:r>
        <w:rPr>
          <w:rFonts w:hint="eastAsia" w:eastAsia="黑体"/>
          <w:b/>
          <w:sz w:val="21"/>
          <w:lang w:eastAsia="zh-CN"/>
        </w:rPr>
        <w:t>图3.</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3</w:t>
      </w:r>
      <w:r>
        <w:rPr>
          <w:rFonts w:eastAsia="黑体"/>
          <w:b/>
          <w:sz w:val="21"/>
          <w:lang w:eastAsia="zh-CN"/>
        </w:rPr>
        <w:fldChar w:fldCharType="end"/>
      </w:r>
      <w:r>
        <w:rPr>
          <w:rFonts w:hint="eastAsia" w:eastAsia="黑体"/>
          <w:b/>
          <w:sz w:val="21"/>
          <w:lang w:eastAsia="zh-CN"/>
        </w:rPr>
        <w:t xml:space="preserve"> </w:t>
      </w:r>
      <w:r>
        <w:rPr>
          <w:rFonts w:eastAsia="黑体"/>
          <w:b/>
          <w:sz w:val="21"/>
          <w:lang w:eastAsia="zh-CN"/>
        </w:rPr>
        <w:t xml:space="preserve">  2022届</w:t>
      </w:r>
      <w:r>
        <w:rPr>
          <w:rFonts w:hint="eastAsia" w:eastAsia="黑体"/>
          <w:b/>
          <w:sz w:val="21"/>
          <w:lang w:eastAsia="zh-CN"/>
        </w:rPr>
        <w:t>毕业生</w:t>
      </w:r>
      <w:r>
        <w:rPr>
          <w:rFonts w:eastAsia="黑体"/>
          <w:b/>
          <w:sz w:val="21"/>
          <w:lang w:eastAsia="zh-CN"/>
        </w:rPr>
        <w:t>毕业去向</w:t>
      </w:r>
      <w:r>
        <w:rPr>
          <w:rFonts w:hint="eastAsia" w:eastAsia="黑体"/>
          <w:b/>
          <w:sz w:val="21"/>
          <w:lang w:eastAsia="zh-CN"/>
        </w:rPr>
        <w:t>对比</w:t>
      </w:r>
      <w:r>
        <w:rPr>
          <w:rFonts w:eastAsia="黑体"/>
          <w:b/>
          <w:sz w:val="21"/>
          <w:lang w:eastAsia="zh-CN"/>
        </w:rPr>
        <w:t>分析</w:t>
      </w:r>
      <w:bookmarkEnd w:id="44"/>
      <w:bookmarkEnd w:id="45"/>
      <w:bookmarkEnd w:id="46"/>
    </w:p>
    <w:p>
      <w:pPr>
        <w:rPr>
          <w:snapToGrid/>
          <w:sz w:val="21"/>
          <w:lang w:eastAsia="zh-CN"/>
        </w:rPr>
      </w:pPr>
      <w:r>
        <w:rPr>
          <w:rFonts w:hint="eastAsia" w:ascii="仿宋" w:hAnsi="仿宋"/>
          <w:sz w:val="21"/>
          <w:lang w:eastAsia="zh-CN"/>
        </w:rPr>
        <w:t>数据来源：北京新锦成教育技术有限公司</w:t>
      </w:r>
    </w:p>
    <w:p>
      <w:pPr>
        <w:pStyle w:val="3"/>
        <w:ind w:firstLine="643"/>
        <w:rPr>
          <w:lang w:val="zh-CN" w:eastAsia="zh-CN"/>
        </w:rPr>
      </w:pPr>
      <w:bookmarkStart w:id="47" w:name="_Toc151887699"/>
      <w:r>
        <w:rPr>
          <w:rFonts w:hint="eastAsia"/>
          <w:lang w:val="zh-CN" w:eastAsia="zh-CN"/>
        </w:rPr>
        <w:t>（一）</w:t>
      </w:r>
      <w:r>
        <w:rPr>
          <w:lang w:val="zh-CN" w:eastAsia="zh-CN"/>
        </w:rPr>
        <w:t>各</w:t>
      </w:r>
      <w:r>
        <w:rPr>
          <w:rFonts w:hint="eastAsia"/>
          <w:lang w:val="zh-CN" w:eastAsia="zh-CN"/>
        </w:rPr>
        <w:t>学院</w:t>
      </w:r>
      <w:r>
        <w:rPr>
          <w:lang w:val="zh-CN" w:eastAsia="zh-CN"/>
        </w:rPr>
        <w:t>毕业去向</w:t>
      </w:r>
      <w:r>
        <w:rPr>
          <w:rFonts w:hint="eastAsia"/>
          <w:lang w:val="zh-CN" w:eastAsia="zh-CN"/>
        </w:rPr>
        <w:t>分布</w:t>
      </w:r>
      <w:bookmarkEnd w:id="47"/>
    </w:p>
    <w:p>
      <w:pPr>
        <w:ind w:firstLine="640"/>
        <w:rPr>
          <w:lang w:eastAsia="zh-CN"/>
        </w:rPr>
      </w:pPr>
      <w:r>
        <w:rPr>
          <w:rFonts w:hint="eastAsia"/>
          <w:lang w:eastAsia="zh-CN"/>
        </w:rPr>
        <w:t>各学院毕业去向</w:t>
      </w:r>
      <w:r>
        <w:rPr>
          <w:lang w:eastAsia="zh-CN"/>
        </w:rPr>
        <w:t>：</w:t>
      </w:r>
      <w:r>
        <w:rPr>
          <w:rFonts w:hint="eastAsia"/>
          <w:lang w:eastAsia="zh-CN"/>
        </w:rPr>
        <w:t>各学院就业去向存在一定差异，</w:t>
      </w:r>
      <w:r>
        <w:rPr>
          <w:lang w:eastAsia="zh-CN"/>
        </w:rPr>
        <w:t>其中</w:t>
      </w:r>
      <w:r>
        <w:rPr>
          <w:rFonts w:hint="eastAsia"/>
          <w:lang w:eastAsia="zh-CN"/>
        </w:rPr>
        <w:t>“化学与材料工程学院”</w:t>
      </w:r>
      <w:r>
        <w:rPr>
          <w:lang w:eastAsia="zh-CN"/>
        </w:rPr>
        <w:t>毕业生毕业去向为</w:t>
      </w:r>
      <w:r>
        <w:rPr>
          <w:rFonts w:hint="eastAsia"/>
          <w:lang w:eastAsia="zh-CN"/>
        </w:rPr>
        <w:t>“</w:t>
      </w:r>
      <w:r>
        <w:rPr>
          <w:lang w:eastAsia="zh-CN"/>
        </w:rPr>
        <w:t>国内工作</w:t>
      </w:r>
      <w:r>
        <w:rPr>
          <w:rFonts w:hint="eastAsia"/>
          <w:lang w:eastAsia="zh-CN"/>
        </w:rPr>
        <w:t>”</w:t>
      </w:r>
      <w:r>
        <w:rPr>
          <w:lang w:eastAsia="zh-CN"/>
        </w:rPr>
        <w:t>的比例最高（</w:t>
      </w:r>
      <w:r>
        <w:rPr>
          <w:rFonts w:hint="eastAsia"/>
          <w:lang w:eastAsia="zh-CN"/>
        </w:rPr>
        <w:t>100.00%</w:t>
      </w:r>
      <w:r>
        <w:rPr>
          <w:lang w:eastAsia="zh-CN"/>
        </w:rPr>
        <w:t>），</w:t>
      </w:r>
      <w:r>
        <w:rPr>
          <w:rFonts w:hint="eastAsia"/>
          <w:lang w:eastAsia="zh-CN"/>
        </w:rPr>
        <w:t>“城建学院”</w:t>
      </w:r>
      <w:r>
        <w:rPr>
          <w:lang w:eastAsia="zh-CN"/>
        </w:rPr>
        <w:t>毕业去向为</w:t>
      </w:r>
      <w:r>
        <w:rPr>
          <w:rFonts w:hint="eastAsia"/>
          <w:lang w:eastAsia="zh-CN"/>
        </w:rPr>
        <w:t>“</w:t>
      </w:r>
      <w:r>
        <w:rPr>
          <w:lang w:eastAsia="zh-CN"/>
        </w:rPr>
        <w:t>国内工作</w:t>
      </w:r>
      <w:r>
        <w:rPr>
          <w:rFonts w:hint="eastAsia"/>
          <w:lang w:eastAsia="zh-CN"/>
        </w:rPr>
        <w:t>”</w:t>
      </w:r>
      <w:r>
        <w:rPr>
          <w:lang w:eastAsia="zh-CN"/>
        </w:rPr>
        <w:t>的占比相对较低（</w:t>
      </w:r>
      <w:r>
        <w:rPr>
          <w:rFonts w:hint="eastAsia"/>
          <w:lang w:eastAsia="zh-CN"/>
        </w:rPr>
        <w:t>64.29%</w:t>
      </w:r>
      <w:r>
        <w:rPr>
          <w:lang w:eastAsia="zh-CN"/>
        </w:rPr>
        <w:t>）。</w:t>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r>
        <w:rPr>
          <w:rFonts w:hint="eastAsia" w:eastAsia="黑体"/>
          <w:b/>
          <w:sz w:val="21"/>
          <w:lang w:eastAsia="zh-CN"/>
        </w:rPr>
        <w:t>表3.</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表1-2-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2</w:t>
      </w:r>
      <w:r>
        <w:rPr>
          <w:rFonts w:eastAsia="黑体"/>
          <w:b/>
          <w:sz w:val="21"/>
          <w:lang w:eastAsia="zh-CN"/>
        </w:rPr>
        <w:fldChar w:fldCharType="end"/>
      </w:r>
      <w:r>
        <w:rPr>
          <w:rFonts w:eastAsia="黑体"/>
          <w:b/>
          <w:sz w:val="21"/>
          <w:lang w:eastAsia="zh-CN"/>
        </w:rPr>
        <w:t xml:space="preserve">  </w:t>
      </w:r>
      <w:r>
        <w:rPr>
          <w:rFonts w:hint="eastAsia" w:eastAsia="黑体"/>
          <w:b/>
          <w:sz w:val="21"/>
          <w:lang w:eastAsia="zh-CN"/>
        </w:rPr>
        <w:t>2022届各学院毕业生毕业去向分布</w:t>
      </w:r>
    </w:p>
    <w:tbl>
      <w:tblPr>
        <w:tblStyle w:val="30"/>
        <w:tblW w:w="5000" w:type="pct"/>
        <w:jc w:val="cente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2404"/>
        <w:gridCol w:w="1205"/>
        <w:gridCol w:w="1206"/>
        <w:gridCol w:w="1206"/>
        <w:gridCol w:w="1206"/>
        <w:gridCol w:w="1752"/>
        <w:gridCol w:w="983"/>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jc w:val="center"/>
        </w:trPr>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color w:val="CCE8CF"/>
                <w:sz w:val="21"/>
                <w:lang w:eastAsia="zh-CN"/>
              </w:rPr>
            </w:pPr>
            <w:r>
              <w:rPr>
                <w:rFonts w:hint="eastAsia" w:ascii="微软雅黑" w:hAnsi="微软雅黑" w:eastAsia="微软雅黑" w:cs="微软雅黑"/>
                <w:b/>
                <w:bCs/>
                <w:snapToGrid/>
                <w:color w:val="CCE8CF"/>
                <w:sz w:val="21"/>
                <w:lang w:eastAsia="zh-CN"/>
              </w:rPr>
              <w:t>学院</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color w:val="CCE8CF"/>
                <w:sz w:val="21"/>
                <w:lang w:eastAsia="zh-CN"/>
              </w:rPr>
            </w:pPr>
            <w:r>
              <w:rPr>
                <w:rFonts w:hint="eastAsia" w:eastAsia="Calibri"/>
                <w:b/>
                <w:bCs/>
                <w:snapToGrid/>
                <w:color w:val="CCE8CF"/>
                <w:sz w:val="21"/>
                <w:lang w:eastAsia="zh-CN"/>
              </w:rPr>
              <w:t>国内工作</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color w:val="CCE8CF"/>
                <w:sz w:val="21"/>
                <w:lang w:eastAsia="zh-CN"/>
              </w:rPr>
            </w:pPr>
            <w:r>
              <w:rPr>
                <w:rFonts w:hint="eastAsia" w:eastAsia="Calibri"/>
                <w:b/>
                <w:bCs/>
                <w:snapToGrid/>
                <w:color w:val="CCE8CF"/>
                <w:sz w:val="21"/>
                <w:lang w:eastAsia="zh-CN"/>
              </w:rPr>
              <w:t>国内求学</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color w:val="CCE8CF"/>
                <w:sz w:val="21"/>
                <w:lang w:eastAsia="zh-CN"/>
              </w:rPr>
            </w:pPr>
            <w:r>
              <w:rPr>
                <w:rFonts w:hint="eastAsia" w:eastAsia="Calibri"/>
                <w:b/>
                <w:bCs/>
                <w:snapToGrid/>
                <w:color w:val="CCE8CF"/>
                <w:sz w:val="21"/>
                <w:lang w:eastAsia="zh-CN"/>
              </w:rPr>
              <w:t>自由职业</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color w:val="CCE8CF"/>
                <w:sz w:val="21"/>
                <w:lang w:eastAsia="zh-CN"/>
              </w:rPr>
            </w:pPr>
            <w:r>
              <w:rPr>
                <w:rFonts w:hint="eastAsia" w:eastAsia="Calibri"/>
                <w:b/>
                <w:bCs/>
                <w:snapToGrid/>
                <w:color w:val="CCE8CF"/>
                <w:sz w:val="21"/>
                <w:lang w:eastAsia="zh-CN"/>
              </w:rPr>
              <w:t>自主创业</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color w:val="CCE8CF"/>
                <w:sz w:val="21"/>
                <w:lang w:eastAsia="zh-CN"/>
              </w:rPr>
            </w:pPr>
            <w:r>
              <w:rPr>
                <w:rFonts w:hint="eastAsia" w:eastAsia="Calibri"/>
                <w:b/>
                <w:bCs/>
                <w:snapToGrid/>
                <w:color w:val="CCE8CF"/>
                <w:sz w:val="21"/>
                <w:lang w:eastAsia="zh-CN"/>
              </w:rPr>
              <w:t>出国/出境留学</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color w:val="CCE8CF"/>
                <w:sz w:val="21"/>
                <w:lang w:eastAsia="zh-CN"/>
              </w:rPr>
            </w:pPr>
            <w:r>
              <w:rPr>
                <w:rFonts w:hint="eastAsia" w:eastAsia="Calibri"/>
                <w:b/>
                <w:bCs/>
                <w:snapToGrid/>
                <w:color w:val="CCE8CF"/>
                <w:sz w:val="21"/>
                <w:lang w:eastAsia="zh-CN"/>
              </w:rPr>
              <w:t>未就业</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化学与材料工程学院</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100.00%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国际护理学院</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92.86%</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7.14%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机电工程学院</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69.44%</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2.78%</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5.56%</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11.11%</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2.78%</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8.33%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健康科学学院</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69.23%</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7.69%</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23.08%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信息工程学院</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68.75%</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12.50%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18.75%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城建学院</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64.29%</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14.29%</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21.43%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海事学院</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*66.67%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*33.33%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r>
    </w:tbl>
    <w:p>
      <w:pPr>
        <w:rPr>
          <w:snapToGrid/>
          <w:sz w:val="21"/>
          <w:lang w:eastAsia="zh-CN"/>
        </w:rPr>
      </w:pPr>
      <w:r>
        <w:rPr>
          <w:rFonts w:hint="eastAsia" w:ascii="仿宋" w:hAnsi="仿宋"/>
          <w:sz w:val="21"/>
          <w:lang w:eastAsia="zh-CN"/>
        </w:rPr>
        <w:t>数据来源：北京新锦成教育技术有限公司</w:t>
      </w:r>
    </w:p>
    <w:p>
      <w:pPr>
        <w:pStyle w:val="3"/>
        <w:ind w:firstLine="643"/>
        <w:rPr>
          <w:lang w:val="zh-CN" w:eastAsia="zh-CN"/>
        </w:rPr>
      </w:pPr>
      <w:bookmarkStart w:id="48" w:name="_Toc151887700"/>
      <w:r>
        <w:rPr>
          <w:rFonts w:hint="eastAsia"/>
          <w:lang w:val="zh-CN" w:eastAsia="zh-CN"/>
        </w:rPr>
        <w:t>（二）</w:t>
      </w:r>
      <w:r>
        <w:rPr>
          <w:lang w:val="zh-CN" w:eastAsia="zh-CN"/>
        </w:rPr>
        <w:t>各</w:t>
      </w:r>
      <w:r>
        <w:rPr>
          <w:rFonts w:hint="eastAsia"/>
          <w:lang w:val="zh-CN" w:eastAsia="zh-CN"/>
        </w:rPr>
        <w:t>专业</w:t>
      </w:r>
      <w:r>
        <w:rPr>
          <w:lang w:val="zh-CN" w:eastAsia="zh-CN"/>
        </w:rPr>
        <w:t>毕业去向</w:t>
      </w:r>
      <w:r>
        <w:rPr>
          <w:rFonts w:hint="eastAsia"/>
          <w:lang w:val="zh-CN" w:eastAsia="zh-CN"/>
        </w:rPr>
        <w:t>分布</w:t>
      </w:r>
      <w:bookmarkEnd w:id="48"/>
    </w:p>
    <w:p>
      <w:pPr>
        <w:ind w:firstLine="640"/>
        <w:rPr>
          <w:lang w:eastAsia="zh-CN"/>
        </w:rPr>
      </w:pPr>
      <w:r>
        <w:rPr>
          <w:rFonts w:hint="eastAsia"/>
          <w:lang w:eastAsia="zh-CN"/>
        </w:rPr>
        <w:t>各专业毕业去向</w:t>
      </w:r>
      <w:r>
        <w:rPr>
          <w:lang w:eastAsia="zh-CN"/>
        </w:rPr>
        <w:t>：</w:t>
      </w:r>
      <w:r>
        <w:rPr>
          <w:rFonts w:hint="eastAsia"/>
          <w:lang w:eastAsia="zh-CN"/>
        </w:rPr>
        <w:t>在所有专业毕业生中，“制药工程”</w:t>
      </w:r>
      <w:r>
        <w:rPr>
          <w:lang w:eastAsia="zh-CN"/>
        </w:rPr>
        <w:t>专业</w:t>
      </w:r>
      <w:r>
        <w:rPr>
          <w:rFonts w:hint="eastAsia"/>
          <w:lang w:eastAsia="zh-CN"/>
        </w:rPr>
        <w:t>毕业生“</w:t>
      </w:r>
      <w:r>
        <w:rPr>
          <w:lang w:eastAsia="zh-CN"/>
        </w:rPr>
        <w:t>国内工作</w:t>
      </w:r>
      <w:r>
        <w:rPr>
          <w:rFonts w:hint="eastAsia"/>
          <w:lang w:eastAsia="zh-CN"/>
        </w:rPr>
        <w:t>”的</w:t>
      </w:r>
      <w:r>
        <w:rPr>
          <w:lang w:eastAsia="zh-CN"/>
        </w:rPr>
        <w:t>比例最高（</w:t>
      </w:r>
      <w:r>
        <w:rPr>
          <w:rFonts w:hint="eastAsia"/>
          <w:lang w:eastAsia="zh-CN"/>
        </w:rPr>
        <w:t>100.00%</w:t>
      </w:r>
      <w:r>
        <w:rPr>
          <w:lang w:eastAsia="zh-CN"/>
        </w:rPr>
        <w:t>），而</w:t>
      </w:r>
      <w:r>
        <w:rPr>
          <w:rFonts w:hint="eastAsia"/>
          <w:lang w:eastAsia="zh-CN"/>
        </w:rPr>
        <w:t>“土木工程”（64.29%）毕业生“</w:t>
      </w:r>
      <w:r>
        <w:rPr>
          <w:lang w:eastAsia="zh-CN"/>
        </w:rPr>
        <w:t>国内工作</w:t>
      </w:r>
      <w:r>
        <w:rPr>
          <w:rFonts w:hint="eastAsia"/>
          <w:lang w:eastAsia="zh-CN"/>
        </w:rPr>
        <w:t>”的</w:t>
      </w:r>
      <w:r>
        <w:rPr>
          <w:lang w:eastAsia="zh-CN"/>
        </w:rPr>
        <w:t>比例相对较低</w:t>
      </w:r>
      <w:r>
        <w:rPr>
          <w:rFonts w:hint="eastAsia"/>
          <w:lang w:eastAsia="zh-CN"/>
        </w:rPr>
        <w:t>。</w:t>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r>
        <w:rPr>
          <w:rFonts w:hint="eastAsia" w:eastAsia="黑体"/>
          <w:b/>
          <w:sz w:val="21"/>
          <w:lang w:eastAsia="zh-CN"/>
        </w:rPr>
        <w:t xml:space="preserve">表3. </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表1-2-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3</w:t>
      </w:r>
      <w:r>
        <w:rPr>
          <w:rFonts w:eastAsia="黑体"/>
          <w:b/>
          <w:sz w:val="21"/>
          <w:lang w:eastAsia="zh-CN"/>
        </w:rPr>
        <w:fldChar w:fldCharType="end"/>
      </w:r>
      <w:r>
        <w:rPr>
          <w:rFonts w:eastAsia="黑体"/>
          <w:b/>
          <w:sz w:val="21"/>
          <w:lang w:eastAsia="zh-CN"/>
        </w:rPr>
        <w:t xml:space="preserve">  </w:t>
      </w:r>
      <w:r>
        <w:rPr>
          <w:rFonts w:hint="eastAsia" w:eastAsia="黑体"/>
          <w:b/>
          <w:sz w:val="21"/>
          <w:lang w:eastAsia="zh-CN"/>
        </w:rPr>
        <w:t>2022届各专业毕业生毕业去向分布</w:t>
      </w:r>
    </w:p>
    <w:tbl>
      <w:tblPr>
        <w:tblStyle w:val="30"/>
        <w:tblW w:w="5000" w:type="pct"/>
        <w:jc w:val="cente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2400"/>
        <w:gridCol w:w="1220"/>
        <w:gridCol w:w="1204"/>
        <w:gridCol w:w="1204"/>
        <w:gridCol w:w="1204"/>
        <w:gridCol w:w="1749"/>
        <w:gridCol w:w="981"/>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jc w:val="center"/>
        </w:trPr>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color w:val="CCE8CF"/>
                <w:sz w:val="21"/>
                <w:lang w:eastAsia="zh-CN"/>
              </w:rPr>
            </w:pPr>
            <w:r>
              <w:rPr>
                <w:rFonts w:eastAsia="Calibri"/>
                <w:b/>
                <w:bCs/>
                <w:snapToGrid/>
                <w:color w:val="CCE8CF"/>
                <w:sz w:val="21"/>
                <w:lang w:eastAsia="zh-CN"/>
              </w:rPr>
              <w:t>专业</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color w:val="CCE8CF"/>
                <w:sz w:val="21"/>
                <w:lang w:eastAsia="zh-CN"/>
              </w:rPr>
            </w:pPr>
            <w:r>
              <w:rPr>
                <w:rFonts w:eastAsia="Calibri"/>
                <w:b/>
                <w:bCs/>
                <w:snapToGrid/>
                <w:color w:val="CCE8CF"/>
                <w:sz w:val="21"/>
                <w:lang w:eastAsia="zh-CN"/>
              </w:rPr>
              <w:t>国内工作</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color w:val="CCE8CF"/>
                <w:sz w:val="21"/>
                <w:lang w:eastAsia="zh-CN"/>
              </w:rPr>
            </w:pPr>
            <w:r>
              <w:rPr>
                <w:rFonts w:eastAsia="Calibri"/>
                <w:b/>
                <w:bCs/>
                <w:snapToGrid/>
                <w:color w:val="CCE8CF"/>
                <w:sz w:val="21"/>
                <w:lang w:eastAsia="zh-CN"/>
              </w:rPr>
              <w:t>国内求学</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color w:val="CCE8CF"/>
                <w:sz w:val="21"/>
                <w:lang w:eastAsia="zh-CN"/>
              </w:rPr>
            </w:pPr>
            <w:r>
              <w:rPr>
                <w:rFonts w:eastAsia="Calibri"/>
                <w:b/>
                <w:bCs/>
                <w:snapToGrid/>
                <w:color w:val="CCE8CF"/>
                <w:sz w:val="21"/>
                <w:lang w:eastAsia="zh-CN"/>
              </w:rPr>
              <w:t>自由职业</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color w:val="CCE8CF"/>
                <w:sz w:val="21"/>
                <w:lang w:eastAsia="zh-CN"/>
              </w:rPr>
            </w:pPr>
            <w:r>
              <w:rPr>
                <w:rFonts w:eastAsia="Calibri"/>
                <w:b/>
                <w:bCs/>
                <w:snapToGrid/>
                <w:color w:val="CCE8CF"/>
                <w:sz w:val="21"/>
                <w:lang w:eastAsia="zh-CN"/>
              </w:rPr>
              <w:t>自主创业</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color w:val="CCE8CF"/>
                <w:sz w:val="21"/>
                <w:lang w:eastAsia="zh-CN"/>
              </w:rPr>
            </w:pPr>
            <w:r>
              <w:rPr>
                <w:rFonts w:eastAsia="Calibri"/>
                <w:b/>
                <w:bCs/>
                <w:snapToGrid/>
                <w:color w:val="CCE8CF"/>
                <w:sz w:val="21"/>
                <w:lang w:eastAsia="zh-CN"/>
              </w:rPr>
              <w:t>出国/出境留学</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color w:val="CCE8CF"/>
                <w:sz w:val="21"/>
                <w:lang w:eastAsia="zh-CN"/>
              </w:rPr>
            </w:pPr>
            <w:r>
              <w:rPr>
                <w:rFonts w:eastAsia="Calibri"/>
                <w:b/>
                <w:bCs/>
                <w:snapToGrid/>
                <w:color w:val="CCE8CF"/>
                <w:sz w:val="21"/>
                <w:lang w:eastAsia="zh-CN"/>
              </w:rPr>
              <w:t>未就业</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制药工程</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100.00%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护理</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92.86%</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7.14%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大数据技术与应用</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70.59%</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11.76%</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17.65%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机械设计制造类</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69.44%</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2.78%</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5.56%</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11.11%</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2.78%</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8.33%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健康服务与管理</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69.23%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7.69%</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23.08%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物联网工程</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66.67%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13.33%</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土木工程</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64.29%</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14.29%</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21.43%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化学工程与工艺</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*100.00%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水路运输与海事管理</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*100.00%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航海技术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*100.00%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r>
    </w:tbl>
    <w:p>
      <w:pPr>
        <w:pBdr>
          <w:top w:val="none" w:color="000000" w:sz="0" w:space="0"/>
          <w:left w:val="none" w:color="000000" w:sz="0" w:space="0"/>
          <w:bottom w:val="none" w:color="000000" w:sz="0" w:space="0"/>
          <w:right w:val="none" w:color="000000" w:sz="0" w:space="0"/>
          <w:between w:val="none" w:color="000000" w:sz="0" w:space="0"/>
        </w:pBdr>
        <w:jc w:val="both"/>
        <w:rPr>
          <w:rFonts w:eastAsia="黑体"/>
          <w:sz w:val="21"/>
          <w:szCs w:val="20"/>
          <w:lang w:eastAsia="zh-CN"/>
        </w:rPr>
      </w:pPr>
      <w:r>
        <w:rPr>
          <w:rFonts w:eastAsia="黑体"/>
          <w:sz w:val="21"/>
          <w:szCs w:val="20"/>
          <w:lang w:eastAsia="zh-CN"/>
        </w:rPr>
        <w:t>注：*</w:t>
      </w:r>
      <w:r>
        <w:rPr>
          <w:rFonts w:hint="eastAsia" w:eastAsia="黑体"/>
          <w:sz w:val="21"/>
          <w:szCs w:val="20"/>
          <w:lang w:eastAsia="zh-CN"/>
        </w:rPr>
        <w:t>专业样本量较小，其分析结果仅供参考，不纳入到报告结论的分析范畴。</w:t>
      </w:r>
    </w:p>
    <w:p>
      <w:pPr>
        <w:rPr>
          <w:snapToGrid/>
          <w:sz w:val="21"/>
          <w:lang w:eastAsia="zh-CN"/>
        </w:rPr>
      </w:pPr>
      <w:r>
        <w:rPr>
          <w:rFonts w:hint="eastAsia" w:ascii="仿宋" w:hAnsi="仿宋"/>
          <w:sz w:val="21"/>
          <w:lang w:eastAsia="zh-CN"/>
        </w:rPr>
        <w:t>数据来源：北京新锦成教育技术有限公司</w:t>
      </w:r>
    </w:p>
    <w:p>
      <w:pPr>
        <w:pStyle w:val="2"/>
        <w:ind w:firstLine="640"/>
        <w:rPr>
          <w:lang w:eastAsia="zh-CN"/>
        </w:rPr>
      </w:pPr>
      <w:bookmarkStart w:id="49" w:name="_Toc151887701"/>
      <w:r>
        <w:rPr>
          <w:rFonts w:hint="eastAsia"/>
          <w:lang w:eastAsia="zh-CN"/>
        </w:rPr>
        <w:t>三</w:t>
      </w:r>
      <w:r>
        <w:rPr>
          <w:lang w:eastAsia="zh-CN"/>
        </w:rPr>
        <w:t>、</w:t>
      </w:r>
      <w:r>
        <w:rPr>
          <w:rFonts w:hint="eastAsia"/>
          <w:lang w:eastAsia="zh-CN"/>
        </w:rPr>
        <w:t>就业机会充分度</w:t>
      </w:r>
      <w:bookmarkEnd w:id="49"/>
    </w:p>
    <w:p>
      <w:pPr>
        <w:ind w:firstLine="640"/>
        <w:rPr>
          <w:lang w:eastAsia="zh-CN"/>
        </w:rPr>
      </w:pPr>
      <w:r>
        <w:rPr>
          <w:rFonts w:hint="eastAsia"/>
          <w:lang w:eastAsia="zh-CN"/>
        </w:rPr>
        <w:t>就业机会充分度：</w:t>
      </w:r>
      <w:r>
        <w:rPr>
          <w:lang w:eastAsia="zh-CN"/>
        </w:rPr>
        <w:t>就业机会充分度体现某一专业社会需求的多少和毕业生就业的难易程度，较为准确地反映当前的就业形势。</w:t>
      </w:r>
    </w:p>
    <w:p>
      <w:pPr>
        <w:ind w:firstLine="640"/>
        <w:rPr>
          <w:lang w:eastAsia="zh-CN"/>
        </w:rPr>
      </w:pPr>
      <w:r>
        <w:rPr>
          <w:lang w:eastAsia="zh-CN"/>
        </w:rPr>
        <w:t>2022届毕业生</w:t>
      </w:r>
      <w:r>
        <w:rPr>
          <w:rFonts w:hint="eastAsia"/>
          <w:lang w:eastAsia="zh-CN"/>
        </w:rPr>
        <w:t>选择</w:t>
      </w:r>
      <w:r>
        <w:rPr>
          <w:lang w:eastAsia="zh-CN"/>
        </w:rPr>
        <w:t>就业机会</w:t>
      </w:r>
      <w:r>
        <w:rPr>
          <w:rFonts w:hint="eastAsia"/>
          <w:lang w:eastAsia="zh-CN"/>
        </w:rPr>
        <w:t>“较多”的占比为39.52%；</w:t>
      </w:r>
      <w:r>
        <w:rPr>
          <w:lang w:eastAsia="zh-CN"/>
        </w:rPr>
        <w:t>其中认为“非常多”的占比为</w:t>
      </w:r>
      <w:r>
        <w:rPr>
          <w:rFonts w:hint="eastAsia"/>
          <w:lang w:eastAsia="zh-CN"/>
        </w:rPr>
        <w:t>9.68%</w:t>
      </w:r>
      <w:r>
        <w:rPr>
          <w:lang w:eastAsia="zh-CN"/>
        </w:rPr>
        <w:t>，认为“比较多”的占比为</w:t>
      </w:r>
      <w:r>
        <w:rPr>
          <w:rFonts w:hint="eastAsia"/>
          <w:lang w:eastAsia="zh-CN"/>
        </w:rPr>
        <w:t>29.84%</w:t>
      </w:r>
      <w:r>
        <w:rPr>
          <w:lang w:eastAsia="zh-CN"/>
        </w:rPr>
        <w:t>。</w:t>
      </w:r>
    </w:p>
    <w:p>
      <w:pPr>
        <w:pBdr>
          <w:top w:val="none" w:color="000000" w:sz="0" w:space="0"/>
          <w:left w:val="none" w:color="000000" w:sz="0" w:space="0"/>
          <w:bottom w:val="none" w:color="000000" w:sz="0" w:space="0"/>
          <w:right w:val="none" w:color="000000" w:sz="0" w:space="0"/>
          <w:between w:val="none" w:color="000000" w:sz="0" w:space="0"/>
        </w:pBdr>
        <w:spacing w:before="163" w:after="120" w:line="360" w:lineRule="auto"/>
        <w:ind w:firstLine="480"/>
        <w:jc w:val="center"/>
        <w:rPr>
          <w:rFonts w:eastAsia="Calibri"/>
          <w:color w:val="auto"/>
          <w:sz w:val="24"/>
          <w:lang w:eastAsia="zh-CN"/>
        </w:rPr>
      </w:pPr>
      <w:r>
        <w:rPr>
          <w:rFonts w:ascii="Calibri" w:hAnsi="Calibri" w:eastAsia="Calibri" w:cs="宋体"/>
          <w:sz w:val="24"/>
          <w:lang w:eastAsia="zh-CN"/>
        </w:rPr>
        <w:drawing>
          <wp:inline distT="0" distB="0" distL="0" distR="0">
            <wp:extent cx="3695065" cy="2343150"/>
            <wp:effectExtent l="5080" t="4445" r="8255" b="14605"/>
            <wp:docPr id="57" name="图表 9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宋体"/>
          <w:b/>
          <w:sz w:val="24"/>
          <w:szCs w:val="24"/>
          <w:lang w:eastAsia="zh-CN"/>
        </w:rPr>
      </w:pPr>
      <w:r>
        <w:rPr>
          <w:rFonts w:hint="eastAsia" w:eastAsia="黑体"/>
          <w:b/>
          <w:sz w:val="21"/>
          <w:lang w:eastAsia="zh-CN"/>
        </w:rPr>
        <w:t>图3.</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4</w:t>
      </w:r>
      <w:r>
        <w:rPr>
          <w:rFonts w:eastAsia="黑体"/>
          <w:b/>
          <w:sz w:val="21"/>
          <w:lang w:eastAsia="zh-CN"/>
        </w:rPr>
        <w:fldChar w:fldCharType="end"/>
      </w:r>
      <w:r>
        <w:rPr>
          <w:rFonts w:hint="eastAsia" w:eastAsia="宋体"/>
          <w:b/>
          <w:sz w:val="24"/>
          <w:szCs w:val="24"/>
          <w:lang w:eastAsia="zh-CN"/>
        </w:rPr>
        <w:t xml:space="preserve">  2022届毕业生对就业机会的评价</w:t>
      </w:r>
    </w:p>
    <w:p>
      <w:pPr>
        <w:rPr>
          <w:snapToGrid/>
          <w:sz w:val="21"/>
          <w:lang w:eastAsia="zh-CN"/>
        </w:rPr>
      </w:pPr>
      <w:r>
        <w:rPr>
          <w:rFonts w:hint="eastAsia" w:ascii="仿宋" w:hAnsi="仿宋"/>
          <w:sz w:val="21"/>
          <w:lang w:eastAsia="zh-CN"/>
        </w:rPr>
        <w:t>数据来源：北京新锦成教育技术有限公司</w:t>
      </w:r>
    </w:p>
    <w:p>
      <w:pPr>
        <w:ind w:firstLine="640"/>
        <w:rPr>
          <w:lang w:val="zh-CN" w:eastAsia="zh-CN"/>
        </w:rPr>
      </w:pPr>
      <w:r>
        <w:rPr>
          <w:rFonts w:hint="eastAsia"/>
          <w:lang w:val="zh-CN" w:eastAsia="zh-CN"/>
        </w:rPr>
        <w:t>39.52%</w:t>
      </w:r>
      <w:r>
        <w:rPr>
          <w:lang w:val="zh-CN" w:eastAsia="zh-CN"/>
        </w:rPr>
        <w:t>的</w:t>
      </w:r>
      <w:r>
        <w:rPr>
          <w:rFonts w:hint="eastAsia"/>
          <w:lang w:val="zh-CN" w:eastAsia="zh-CN"/>
        </w:rPr>
        <w:t>毕业生</w:t>
      </w:r>
      <w:r>
        <w:rPr>
          <w:lang w:val="zh-CN" w:eastAsia="zh-CN"/>
        </w:rPr>
        <w:t>认为所学专业</w:t>
      </w:r>
      <w:r>
        <w:rPr>
          <w:rFonts w:hint="eastAsia"/>
          <w:lang w:val="zh-CN" w:eastAsia="zh-CN"/>
        </w:rPr>
        <w:t>的</w:t>
      </w:r>
      <w:r>
        <w:rPr>
          <w:lang w:val="zh-CN" w:eastAsia="zh-CN"/>
        </w:rPr>
        <w:t>就业机会</w:t>
      </w:r>
      <w:r>
        <w:rPr>
          <w:rFonts w:hint="eastAsia"/>
          <w:lang w:val="zh-CN" w:eastAsia="zh-CN"/>
        </w:rPr>
        <w:t>“</w:t>
      </w:r>
      <w:r>
        <w:rPr>
          <w:lang w:val="zh-CN" w:eastAsia="zh-CN"/>
        </w:rPr>
        <w:t>较多</w:t>
      </w:r>
      <w:r>
        <w:rPr>
          <w:rFonts w:hint="eastAsia"/>
          <w:lang w:val="zh-CN" w:eastAsia="zh-CN"/>
        </w:rPr>
        <w:t>”，</w:t>
      </w:r>
      <w:r>
        <w:rPr>
          <w:lang w:val="zh-CN" w:eastAsia="zh-CN"/>
        </w:rPr>
        <w:t>全国高校2022届毕业生认为所学专业</w:t>
      </w:r>
      <w:r>
        <w:rPr>
          <w:rFonts w:hint="eastAsia"/>
          <w:lang w:val="zh-CN" w:eastAsia="zh-CN"/>
        </w:rPr>
        <w:t>的</w:t>
      </w:r>
      <w:r>
        <w:rPr>
          <w:lang w:val="zh-CN" w:eastAsia="zh-CN"/>
        </w:rPr>
        <w:t>就业机会</w:t>
      </w:r>
      <w:r>
        <w:rPr>
          <w:rFonts w:hint="eastAsia"/>
          <w:lang w:val="zh-CN" w:eastAsia="zh-CN"/>
        </w:rPr>
        <w:t>“</w:t>
      </w:r>
      <w:r>
        <w:rPr>
          <w:lang w:val="zh-CN" w:eastAsia="zh-CN"/>
        </w:rPr>
        <w:t>较多</w:t>
      </w:r>
      <w:r>
        <w:rPr>
          <w:rFonts w:hint="eastAsia"/>
          <w:lang w:val="zh-CN" w:eastAsia="zh-CN"/>
        </w:rPr>
        <w:t>”的占比为</w:t>
      </w:r>
      <w:r>
        <w:rPr>
          <w:lang w:val="zh-CN" w:eastAsia="zh-CN"/>
        </w:rPr>
        <w:t>50.07</w:t>
      </w:r>
      <w:r>
        <w:rPr>
          <w:rFonts w:hint="eastAsia"/>
          <w:lang w:val="zh-CN" w:eastAsia="zh-CN"/>
        </w:rPr>
        <w:t>%</w:t>
      </w:r>
      <w:r>
        <w:rPr>
          <w:lang w:val="zh-CN" w:eastAsia="zh-CN"/>
        </w:rPr>
        <w:t>。</w:t>
      </w:r>
    </w:p>
    <w:p>
      <w:pPr>
        <w:pBdr>
          <w:top w:val="none" w:color="000000" w:sz="0" w:space="0"/>
          <w:left w:val="none" w:color="000000" w:sz="0" w:space="0"/>
          <w:bottom w:val="none" w:color="000000" w:sz="0" w:space="0"/>
          <w:right w:val="none" w:color="000000" w:sz="0" w:space="0"/>
          <w:between w:val="none" w:color="000000" w:sz="0" w:space="0"/>
        </w:pBdr>
        <w:spacing w:before="163" w:after="163" w:line="360" w:lineRule="auto"/>
        <w:ind w:firstLine="480"/>
        <w:jc w:val="both"/>
        <w:rPr>
          <w:rFonts w:eastAsia="宋体"/>
          <w:color w:val="0F6FC6"/>
          <w:sz w:val="24"/>
          <w:szCs w:val="24"/>
          <w:lang w:val="zh-CN" w:eastAsia="zh-CN"/>
        </w:rPr>
      </w:pPr>
      <w:r>
        <w:rPr>
          <w:rFonts w:eastAsia="宋体"/>
          <w:sz w:val="24"/>
          <w:szCs w:val="24"/>
          <w:lang w:eastAsia="zh-CN"/>
        </w:rPr>
        <w:drawing>
          <wp:inline distT="0" distB="0" distL="0" distR="0">
            <wp:extent cx="5130800" cy="1620520"/>
            <wp:effectExtent l="0" t="0" r="0" b="5080"/>
            <wp:docPr id="58" name="图表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bCs/>
          <w:sz w:val="21"/>
          <w:lang w:eastAsia="zh-CN"/>
        </w:rPr>
      </w:pPr>
      <w:r>
        <w:rPr>
          <w:rFonts w:hint="eastAsia" w:eastAsia="黑体"/>
          <w:b/>
          <w:sz w:val="21"/>
          <w:lang w:eastAsia="zh-CN"/>
        </w:rPr>
        <w:t>图3.</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5</w:t>
      </w:r>
      <w:r>
        <w:rPr>
          <w:rFonts w:eastAsia="黑体"/>
          <w:b/>
          <w:sz w:val="21"/>
          <w:lang w:eastAsia="zh-CN"/>
        </w:rPr>
        <w:fldChar w:fldCharType="end"/>
      </w:r>
      <w:r>
        <w:rPr>
          <w:rFonts w:eastAsia="黑体"/>
          <w:b/>
          <w:sz w:val="21"/>
          <w:lang w:eastAsia="zh-CN"/>
        </w:rPr>
        <w:t xml:space="preserve">  2022届</w:t>
      </w:r>
      <w:r>
        <w:rPr>
          <w:rFonts w:hint="eastAsia" w:eastAsia="黑体"/>
          <w:b/>
          <w:bCs/>
          <w:sz w:val="21"/>
          <w:lang w:eastAsia="zh-CN"/>
        </w:rPr>
        <w:t>毕业生就业机会对比分析</w:t>
      </w:r>
    </w:p>
    <w:p>
      <w:pPr>
        <w:rPr>
          <w:snapToGrid/>
          <w:sz w:val="21"/>
          <w:lang w:eastAsia="zh-CN"/>
        </w:rPr>
      </w:pPr>
      <w:r>
        <w:rPr>
          <w:rFonts w:hint="eastAsia" w:ascii="仿宋" w:hAnsi="仿宋"/>
          <w:sz w:val="21"/>
          <w:lang w:eastAsia="zh-CN"/>
        </w:rPr>
        <w:t>数据来源：北京新锦成教育技术有限公司</w:t>
      </w:r>
    </w:p>
    <w:p>
      <w:pPr>
        <w:pStyle w:val="3"/>
        <w:ind w:firstLine="643"/>
        <w:rPr>
          <w:lang w:val="zh-CN" w:eastAsia="zh-CN"/>
        </w:rPr>
      </w:pPr>
      <w:bookmarkStart w:id="50" w:name="_Toc151887702"/>
      <w:r>
        <w:rPr>
          <w:rFonts w:hint="eastAsia"/>
          <w:lang w:val="zh-CN" w:eastAsia="zh-CN"/>
        </w:rPr>
        <w:t>（一）</w:t>
      </w:r>
      <w:r>
        <w:rPr>
          <w:lang w:val="zh-CN" w:eastAsia="zh-CN"/>
        </w:rPr>
        <w:t>各</w:t>
      </w:r>
      <w:r>
        <w:rPr>
          <w:rFonts w:hint="eastAsia"/>
          <w:lang w:val="zh-CN" w:eastAsia="zh-CN"/>
        </w:rPr>
        <w:t>学院就业机会充分度</w:t>
      </w:r>
      <w:bookmarkEnd w:id="50"/>
    </w:p>
    <w:p>
      <w:pPr>
        <w:ind w:firstLine="640"/>
        <w:rPr>
          <w:lang w:eastAsia="zh-CN"/>
        </w:rPr>
      </w:pPr>
      <w:r>
        <w:rPr>
          <w:rFonts w:hint="eastAsia"/>
          <w:lang w:eastAsia="zh-CN"/>
        </w:rPr>
        <w:t>各学院</w:t>
      </w:r>
      <w:r>
        <w:rPr>
          <w:lang w:eastAsia="zh-CN"/>
        </w:rPr>
        <w:t>就业机会</w:t>
      </w:r>
      <w:r>
        <w:rPr>
          <w:rFonts w:hint="eastAsia"/>
          <w:lang w:eastAsia="zh-CN"/>
        </w:rPr>
        <w:t>充分度</w:t>
      </w:r>
      <w:r>
        <w:rPr>
          <w:lang w:eastAsia="zh-CN"/>
        </w:rPr>
        <w:t>：2022届毕业生认为就业机会“较多”</w:t>
      </w:r>
      <w:r>
        <w:rPr>
          <w:rFonts w:hint="eastAsia"/>
          <w:lang w:eastAsia="zh-CN"/>
        </w:rPr>
        <w:t>比例最高的是“化学与材料工程学院”（83.33%）</w:t>
      </w:r>
      <w:r>
        <w:rPr>
          <w:lang w:eastAsia="zh-CN"/>
        </w:rPr>
        <w:t>。</w:t>
      </w:r>
    </w:p>
    <w:p>
      <w:pPr>
        <w:pBdr>
          <w:top w:val="none" w:color="000000" w:sz="0" w:space="0"/>
          <w:left w:val="none" w:color="000000" w:sz="0" w:space="0"/>
          <w:bottom w:val="none" w:color="000000" w:sz="0" w:space="0"/>
          <w:right w:val="none" w:color="000000" w:sz="0" w:space="0"/>
          <w:between w:val="none" w:color="000000" w:sz="0" w:space="0"/>
        </w:pBdr>
        <w:spacing w:after="50"/>
        <w:jc w:val="center"/>
        <w:rPr>
          <w:rFonts w:eastAsia="黑体" w:cs="Calibri"/>
          <w:caps/>
          <w:color w:val="0F6FC6"/>
          <w:sz w:val="21"/>
          <w:szCs w:val="20"/>
          <w:lang w:eastAsia="zh-CN"/>
        </w:rPr>
      </w:pPr>
    </w:p>
    <w:p>
      <w:pPr>
        <w:pBdr>
          <w:top w:val="none" w:color="000000" w:sz="0" w:space="0"/>
          <w:left w:val="none" w:color="000000" w:sz="0" w:space="0"/>
          <w:bottom w:val="none" w:color="000000" w:sz="0" w:space="0"/>
          <w:right w:val="none" w:color="000000" w:sz="0" w:space="0"/>
          <w:between w:val="none" w:color="000000" w:sz="0" w:space="0"/>
        </w:pBdr>
        <w:spacing w:before="360" w:after="120" w:line="360" w:lineRule="auto"/>
        <w:jc w:val="both"/>
        <w:rPr>
          <w:rFonts w:eastAsia="宋体"/>
          <w:b/>
          <w:bCs/>
          <w:sz w:val="28"/>
          <w:szCs w:val="28"/>
          <w:lang w:val="zh-CN" w:eastAsia="zh-CN"/>
        </w:rPr>
      </w:pPr>
      <w:r>
        <w:rPr>
          <w:rFonts w:eastAsia="黑体" w:cs="Calibri"/>
          <w:caps/>
          <w:sz w:val="21"/>
          <w:szCs w:val="20"/>
          <w:lang w:eastAsia="zh-CN"/>
        </w:rPr>
        <w:drawing>
          <wp:anchor distT="0" distB="0" distL="114300" distR="114300" simplePos="0" relativeHeight="251659264" behindDoc="1" locked="0" layoutInCell="1" allowOverlap="1">
            <wp:simplePos x="0" y="0"/>
            <wp:positionH relativeFrom="column">
              <wp:posOffset>256540</wp:posOffset>
            </wp:positionH>
            <wp:positionV relativeFrom="paragraph">
              <wp:posOffset>-738505</wp:posOffset>
            </wp:positionV>
            <wp:extent cx="5240020" cy="2075180"/>
            <wp:effectExtent l="0" t="0" r="17780" b="1905"/>
            <wp:wrapNone/>
            <wp:docPr id="59" name="图表 9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pPr>
        <w:pStyle w:val="3"/>
        <w:ind w:firstLine="643"/>
        <w:rPr>
          <w:lang w:val="zh-CN" w:eastAsia="zh-CN"/>
        </w:rPr>
      </w:pPr>
    </w:p>
    <w:p>
      <w:pPr>
        <w:pStyle w:val="3"/>
        <w:ind w:firstLine="643"/>
        <w:rPr>
          <w:lang w:val="zh-CN" w:eastAsia="zh-CN"/>
        </w:rPr>
      </w:pPr>
    </w:p>
    <w:p>
      <w:pPr>
        <w:pBdr>
          <w:top w:val="none" w:color="000000" w:sz="0" w:space="0"/>
          <w:left w:val="none" w:color="000000" w:sz="0" w:space="0"/>
          <w:bottom w:val="none" w:color="000000" w:sz="0" w:space="0"/>
          <w:right w:val="none" w:color="000000" w:sz="0" w:space="0"/>
          <w:between w:val="none" w:color="000000" w:sz="0" w:space="0"/>
        </w:pBdr>
        <w:spacing w:before="120" w:after="120" w:line="360" w:lineRule="auto"/>
        <w:ind w:firstLine="422"/>
        <w:jc w:val="center"/>
        <w:rPr>
          <w:rFonts w:eastAsia="黑体"/>
          <w:b/>
          <w:caps/>
          <w:color w:val="auto"/>
          <w:sz w:val="21"/>
          <w:szCs w:val="36"/>
          <w:lang w:val="zh-CN" w:eastAsia="zh-CN"/>
        </w:rPr>
      </w:pPr>
      <w:r>
        <w:rPr>
          <w:rFonts w:hint="eastAsia" w:eastAsia="黑体"/>
          <w:b/>
          <w:caps/>
          <w:color w:val="auto"/>
          <w:sz w:val="21"/>
          <w:szCs w:val="36"/>
          <w:lang w:val="zh-CN" w:eastAsia="zh-CN"/>
        </w:rPr>
        <w:t>图</w:t>
      </w:r>
      <w:r>
        <w:rPr>
          <w:rFonts w:hint="eastAsia" w:eastAsia="黑体"/>
          <w:b/>
          <w:caps/>
          <w:color w:val="auto"/>
          <w:sz w:val="21"/>
          <w:szCs w:val="36"/>
          <w:lang w:eastAsia="zh-CN"/>
        </w:rPr>
        <w:t>3.</w:t>
      </w:r>
      <w:r>
        <w:rPr>
          <w:rFonts w:eastAsia="黑体"/>
          <w:b/>
          <w:caps/>
          <w:color w:val="auto"/>
          <w:sz w:val="21"/>
          <w:szCs w:val="36"/>
          <w:lang w:val="zh-CN" w:eastAsia="zh-CN"/>
        </w:rPr>
        <w:fldChar w:fldCharType="begin"/>
      </w:r>
      <w:r>
        <w:rPr>
          <w:rFonts w:eastAsia="黑体"/>
          <w:b/>
          <w:caps/>
          <w:color w:val="auto"/>
          <w:sz w:val="21"/>
          <w:szCs w:val="36"/>
          <w:lang w:val="zh-CN" w:eastAsia="zh-CN"/>
        </w:rPr>
        <w:instrText xml:space="preserve"> </w:instrText>
      </w:r>
      <w:r>
        <w:rPr>
          <w:rFonts w:hint="eastAsia" w:eastAsia="黑体"/>
          <w:b/>
          <w:caps/>
          <w:color w:val="auto"/>
          <w:sz w:val="21"/>
          <w:szCs w:val="36"/>
          <w:lang w:val="zh-CN" w:eastAsia="zh-CN"/>
        </w:rPr>
        <w:instrText xml:space="preserve">SEQ 图1-2- \* ARABIC</w:instrText>
      </w:r>
      <w:r>
        <w:rPr>
          <w:rFonts w:eastAsia="黑体"/>
          <w:b/>
          <w:caps/>
          <w:color w:val="auto"/>
          <w:sz w:val="21"/>
          <w:szCs w:val="36"/>
          <w:lang w:val="zh-CN" w:eastAsia="zh-CN"/>
        </w:rPr>
        <w:instrText xml:space="preserve"> </w:instrText>
      </w:r>
      <w:r>
        <w:rPr>
          <w:rFonts w:eastAsia="黑体"/>
          <w:b/>
          <w:caps/>
          <w:color w:val="auto"/>
          <w:sz w:val="21"/>
          <w:szCs w:val="36"/>
          <w:lang w:val="zh-CN" w:eastAsia="zh-CN"/>
        </w:rPr>
        <w:fldChar w:fldCharType="separate"/>
      </w:r>
      <w:r>
        <w:rPr>
          <w:rFonts w:eastAsia="黑体"/>
          <w:b/>
          <w:caps/>
          <w:color w:val="auto"/>
          <w:sz w:val="21"/>
          <w:szCs w:val="36"/>
          <w:lang w:val="zh-CN" w:eastAsia="zh-CN"/>
        </w:rPr>
        <w:t>6</w:t>
      </w:r>
      <w:r>
        <w:rPr>
          <w:rFonts w:eastAsia="黑体"/>
          <w:b/>
          <w:caps/>
          <w:color w:val="auto"/>
          <w:sz w:val="21"/>
          <w:szCs w:val="36"/>
          <w:lang w:val="zh-CN" w:eastAsia="zh-CN"/>
        </w:rPr>
        <w:fldChar w:fldCharType="end"/>
      </w:r>
      <w:r>
        <w:rPr>
          <w:rFonts w:hint="eastAsia" w:eastAsia="宋体"/>
          <w:b/>
          <w:caps/>
          <w:color w:val="auto"/>
          <w:sz w:val="24"/>
          <w:szCs w:val="24"/>
          <w:lang w:eastAsia="zh-CN"/>
        </w:rPr>
        <w:t xml:space="preserve"> </w:t>
      </w:r>
      <w:r>
        <w:rPr>
          <w:rFonts w:hint="eastAsia" w:eastAsia="黑体"/>
          <w:b/>
          <w:caps/>
          <w:color w:val="auto"/>
          <w:sz w:val="21"/>
          <w:szCs w:val="36"/>
          <w:lang w:val="zh-CN" w:eastAsia="zh-CN"/>
        </w:rPr>
        <w:t xml:space="preserve"> 2022届各学院毕业生对就业机会的评价</w:t>
      </w:r>
    </w:p>
    <w:p>
      <w:pPr>
        <w:rPr>
          <w:snapToGrid/>
          <w:sz w:val="21"/>
          <w:lang w:eastAsia="zh-CN"/>
        </w:rPr>
      </w:pPr>
      <w:r>
        <w:rPr>
          <w:rFonts w:hint="eastAsia" w:ascii="仿宋" w:hAnsi="仿宋"/>
          <w:sz w:val="21"/>
          <w:lang w:eastAsia="zh-CN"/>
        </w:rPr>
        <w:t>数据来源：北京新锦成教育技术有限公司</w:t>
      </w:r>
    </w:p>
    <w:p>
      <w:pPr>
        <w:pStyle w:val="3"/>
        <w:ind w:firstLine="643"/>
        <w:rPr>
          <w:lang w:val="zh-CN" w:eastAsia="zh-CN"/>
        </w:rPr>
      </w:pPr>
      <w:bookmarkStart w:id="51" w:name="_Toc151887703"/>
      <w:r>
        <w:rPr>
          <w:rFonts w:hint="eastAsia"/>
          <w:lang w:val="zh-CN" w:eastAsia="zh-CN"/>
        </w:rPr>
        <w:t>（二）</w:t>
      </w:r>
      <w:r>
        <w:rPr>
          <w:lang w:val="zh-CN" w:eastAsia="zh-CN"/>
        </w:rPr>
        <w:t>各</w:t>
      </w:r>
      <w:r>
        <w:rPr>
          <w:rFonts w:hint="eastAsia"/>
          <w:lang w:val="zh-CN" w:eastAsia="zh-CN"/>
        </w:rPr>
        <w:t>专业就业机会充分度</w:t>
      </w:r>
      <w:bookmarkEnd w:id="51"/>
    </w:p>
    <w:p>
      <w:pPr>
        <w:ind w:firstLine="640"/>
        <w:rPr>
          <w:lang w:eastAsia="zh-CN"/>
        </w:rPr>
      </w:pPr>
      <w:r>
        <w:rPr>
          <w:rFonts w:hint="eastAsia"/>
          <w:lang w:eastAsia="zh-CN"/>
        </w:rPr>
        <w:t>各</w:t>
      </w:r>
      <w:r>
        <w:rPr>
          <w:lang w:eastAsia="zh-CN"/>
        </w:rPr>
        <w:t>专业就业机会</w:t>
      </w:r>
      <w:r>
        <w:rPr>
          <w:rFonts w:hint="eastAsia"/>
          <w:lang w:eastAsia="zh-CN"/>
        </w:rPr>
        <w:t>充分度</w:t>
      </w:r>
      <w:r>
        <w:rPr>
          <w:lang w:eastAsia="zh-CN"/>
        </w:rPr>
        <w:t>：</w:t>
      </w:r>
      <w:r>
        <w:rPr>
          <w:rFonts w:hint="eastAsia"/>
          <w:lang w:eastAsia="zh-CN"/>
        </w:rPr>
        <w:t>“制药工程”</w:t>
      </w:r>
      <w:r>
        <w:rPr>
          <w:lang w:eastAsia="zh-CN"/>
        </w:rPr>
        <w:t>专业</w:t>
      </w:r>
      <w:r>
        <w:rPr>
          <w:rFonts w:hint="eastAsia"/>
          <w:lang w:eastAsia="zh-CN"/>
        </w:rPr>
        <w:t>的毕业生认为就业机会“较多”的比例为87.50%，而“健康服务与管理”“物联网工程”专业毕业生认为本专业就业机会“较多”的比例为“1</w:t>
      </w:r>
      <w:r>
        <w:rPr>
          <w:lang w:eastAsia="zh-CN"/>
        </w:rPr>
        <w:t>6.67%</w:t>
      </w:r>
      <w:r>
        <w:rPr>
          <w:rFonts w:hint="eastAsia"/>
          <w:lang w:eastAsia="zh-CN"/>
        </w:rPr>
        <w:t>”。</w:t>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r>
        <w:rPr>
          <w:rFonts w:hint="eastAsia" w:eastAsia="黑体"/>
          <w:b/>
          <w:sz w:val="21"/>
          <w:lang w:eastAsia="zh-CN"/>
        </w:rPr>
        <w:t>表3.</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表1-2-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4</w:t>
      </w:r>
      <w:r>
        <w:rPr>
          <w:rFonts w:eastAsia="黑体"/>
          <w:b/>
          <w:sz w:val="21"/>
          <w:lang w:eastAsia="zh-CN"/>
        </w:rPr>
        <w:fldChar w:fldCharType="end"/>
      </w:r>
      <w:r>
        <w:rPr>
          <w:rFonts w:eastAsia="黑体"/>
          <w:b/>
          <w:sz w:val="21"/>
          <w:lang w:eastAsia="zh-CN"/>
        </w:rPr>
        <w:t xml:space="preserve">  </w:t>
      </w:r>
      <w:r>
        <w:rPr>
          <w:rFonts w:hint="eastAsia" w:eastAsia="黑体"/>
          <w:b/>
          <w:sz w:val="21"/>
          <w:lang w:eastAsia="zh-CN"/>
        </w:rPr>
        <w:t>2022届各专业毕业生对就业机会的评价</w:t>
      </w:r>
    </w:p>
    <w:tbl>
      <w:tblPr>
        <w:tblStyle w:val="30"/>
        <w:tblW w:w="5000" w:type="pct"/>
        <w:jc w:val="cente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4194"/>
        <w:gridCol w:w="1923"/>
        <w:gridCol w:w="1714"/>
        <w:gridCol w:w="2131"/>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jc w:val="center"/>
        </w:trPr>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cs="微软雅黑"/>
                <w:b/>
                <w:bCs/>
                <w:snapToGrid/>
                <w:color w:val="CCE8CF"/>
                <w:sz w:val="21"/>
                <w:lang w:eastAsia="zh-CN"/>
              </w:rPr>
              <w:t>专业</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cs="微软雅黑"/>
                <w:b/>
                <w:bCs/>
                <w:snapToGrid/>
                <w:color w:val="CCE8CF"/>
                <w:sz w:val="21"/>
                <w:lang w:eastAsia="zh-CN"/>
              </w:rPr>
              <w:t>较多</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cs="微软雅黑"/>
                <w:b/>
                <w:bCs/>
                <w:snapToGrid/>
                <w:color w:val="CCE8CF"/>
                <w:sz w:val="21"/>
                <w:lang w:eastAsia="zh-CN"/>
              </w:rPr>
              <w:t>一般</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cs="微软雅黑"/>
                <w:b/>
                <w:bCs/>
                <w:snapToGrid/>
                <w:color w:val="CCE8CF"/>
                <w:sz w:val="21"/>
                <w:lang w:eastAsia="zh-CN"/>
              </w:rPr>
              <w:t>较少</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制药工程</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87.50%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6.25%</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6.25%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护理</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60.00%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土木工程</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36.00%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44.00%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机械设计制造类</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34.38%</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46.88%</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18.75%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大数据技术与应用</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33.33%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58.33%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8.33%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健康服务与管理</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16.67%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33.33%</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物联网工程</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16.67%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41.67%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41.67%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化学工程与工艺</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水路运输与海事管理</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航海技术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*100.00%</w:t>
            </w:r>
          </w:p>
        </w:tc>
      </w:tr>
    </w:tbl>
    <w:p>
      <w:pPr>
        <w:pBdr>
          <w:top w:val="none" w:color="000000" w:sz="0" w:space="0"/>
          <w:left w:val="none" w:color="000000" w:sz="0" w:space="0"/>
          <w:bottom w:val="none" w:color="000000" w:sz="0" w:space="0"/>
          <w:right w:val="none" w:color="000000" w:sz="0" w:space="0"/>
          <w:between w:val="none" w:color="000000" w:sz="0" w:space="0"/>
        </w:pBdr>
        <w:spacing w:after="120" w:afterLines="50"/>
        <w:jc w:val="both"/>
        <w:rPr>
          <w:rFonts w:eastAsia="黑体"/>
          <w:sz w:val="21"/>
          <w:szCs w:val="20"/>
          <w:lang w:eastAsia="zh-CN"/>
        </w:rPr>
      </w:pPr>
      <w:r>
        <w:rPr>
          <w:rFonts w:eastAsia="黑体"/>
          <w:sz w:val="21"/>
          <w:szCs w:val="20"/>
          <w:lang w:eastAsia="zh-CN"/>
        </w:rPr>
        <w:t>注：</w:t>
      </w:r>
      <w:r>
        <w:rPr>
          <w:rFonts w:hint="eastAsia" w:eastAsia="黑体"/>
          <w:sz w:val="21"/>
          <w:szCs w:val="20"/>
          <w:lang w:eastAsia="zh-CN"/>
        </w:rPr>
        <w:t>*</w:t>
      </w:r>
      <w:r>
        <w:rPr>
          <w:rFonts w:eastAsia="黑体"/>
          <w:sz w:val="21"/>
          <w:szCs w:val="20"/>
          <w:lang w:eastAsia="zh-CN"/>
        </w:rPr>
        <w:t>专业样本量较小，其分析结果仅供参考，不纳入到报告结论的分析范畴。</w:t>
      </w:r>
    </w:p>
    <w:p>
      <w:pPr>
        <w:rPr>
          <w:snapToGrid/>
          <w:sz w:val="21"/>
          <w:lang w:eastAsia="zh-CN"/>
        </w:rPr>
      </w:pPr>
      <w:r>
        <w:rPr>
          <w:rFonts w:hint="eastAsia" w:ascii="仿宋" w:hAnsi="仿宋"/>
          <w:sz w:val="21"/>
          <w:lang w:eastAsia="zh-CN"/>
        </w:rPr>
        <w:t>数据来源：北京新锦成教育技术有限公司</w:t>
      </w:r>
    </w:p>
    <w:p>
      <w:pPr>
        <w:ind w:firstLine="640"/>
        <w:rPr>
          <w:lang w:eastAsia="zh-CN"/>
        </w:rPr>
      </w:pPr>
      <w:r>
        <w:rPr>
          <w:rFonts w:hint="eastAsia"/>
          <w:lang w:eastAsia="zh-CN"/>
        </w:rPr>
        <w:t>毕业生就业机会少的原因</w:t>
      </w:r>
      <w:r>
        <w:rPr>
          <w:lang w:eastAsia="zh-CN"/>
        </w:rPr>
        <w:t>：2022届</w:t>
      </w:r>
      <w:r>
        <w:rPr>
          <w:rFonts w:hint="eastAsia"/>
          <w:lang w:eastAsia="zh-CN"/>
        </w:rPr>
        <w:t>毕业生认为就业机会少的原因主要是“受大环境影响，专业相关行业发展不景气”，占比为53.57%；其次是“本专业就业面窄，市场需求较少”，占比为42.86%。</w:t>
      </w:r>
    </w:p>
    <w:p>
      <w:pPr>
        <w:pStyle w:val="25"/>
        <w:rPr>
          <w:lang w:val="en-US"/>
        </w:rPr>
      </w:pPr>
    </w:p>
    <w:p>
      <w:pPr>
        <w:pBdr>
          <w:top w:val="none" w:color="000000" w:sz="0" w:space="0"/>
          <w:left w:val="none" w:color="000000" w:sz="0" w:space="0"/>
          <w:bottom w:val="none" w:color="000000" w:sz="0" w:space="0"/>
          <w:right w:val="none" w:color="000000" w:sz="0" w:space="0"/>
          <w:between w:val="none" w:color="000000" w:sz="0" w:space="0"/>
        </w:pBdr>
        <w:ind w:firstLine="360"/>
        <w:rPr>
          <w:rFonts w:eastAsia="Calibri" w:cs="Calibri"/>
          <w:caps/>
          <w:sz w:val="18"/>
          <w:szCs w:val="20"/>
          <w:lang w:eastAsia="zh-CN"/>
        </w:rPr>
      </w:pPr>
      <w:r>
        <w:rPr>
          <w:rFonts w:eastAsia="Calibri" w:cs="Calibri"/>
          <w:caps/>
          <w:sz w:val="18"/>
          <w:szCs w:val="20"/>
          <w:lang w:eastAsia="zh-CN"/>
        </w:rPr>
        <w:drawing>
          <wp:anchor distT="0" distB="0" distL="114300" distR="114300" simplePos="0" relativeHeight="251664384" behindDoc="0" locked="0" layoutInCell="1" allowOverlap="1">
            <wp:simplePos x="0" y="0"/>
            <wp:positionH relativeFrom="column">
              <wp:posOffset>305435</wp:posOffset>
            </wp:positionH>
            <wp:positionV relativeFrom="paragraph">
              <wp:posOffset>-668020</wp:posOffset>
            </wp:positionV>
            <wp:extent cx="5472430" cy="2806065"/>
            <wp:effectExtent l="0" t="0" r="0" b="0"/>
            <wp:wrapNone/>
            <wp:docPr id="948" name="图表 9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52" w:name="_Toc129867339"/>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r>
        <w:rPr>
          <w:rFonts w:hint="eastAsia" w:eastAsia="黑体"/>
          <w:b/>
          <w:sz w:val="21"/>
          <w:lang w:eastAsia="zh-CN"/>
        </w:rPr>
        <w:t xml:space="preserve">图3. </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7</w:t>
      </w:r>
      <w:r>
        <w:rPr>
          <w:rFonts w:eastAsia="黑体"/>
          <w:b/>
          <w:sz w:val="21"/>
          <w:lang w:eastAsia="zh-CN"/>
        </w:rPr>
        <w:fldChar w:fldCharType="end"/>
      </w:r>
      <w:r>
        <w:rPr>
          <w:rFonts w:hint="eastAsia" w:eastAsia="黑体"/>
          <w:b/>
          <w:sz w:val="21"/>
          <w:lang w:eastAsia="zh-CN"/>
        </w:rPr>
        <w:t xml:space="preserve">  </w:t>
      </w:r>
      <w:r>
        <w:rPr>
          <w:rFonts w:eastAsia="黑体"/>
          <w:b/>
          <w:sz w:val="21"/>
          <w:lang w:eastAsia="zh-CN"/>
        </w:rPr>
        <w:t>2022届</w:t>
      </w:r>
      <w:r>
        <w:rPr>
          <w:rFonts w:hint="eastAsia" w:eastAsia="黑体"/>
          <w:b/>
          <w:sz w:val="21"/>
          <w:lang w:eastAsia="zh-CN"/>
        </w:rPr>
        <w:t>毕业生认为就业机会少的原因分析</w:t>
      </w:r>
      <w:bookmarkEnd w:id="52"/>
    </w:p>
    <w:p>
      <w:pPr>
        <w:pBdr>
          <w:top w:val="none" w:color="000000" w:sz="0" w:space="0"/>
          <w:left w:val="none" w:color="000000" w:sz="0" w:space="0"/>
          <w:bottom w:val="none" w:color="000000" w:sz="0" w:space="0"/>
          <w:right w:val="none" w:color="000000" w:sz="0" w:space="0"/>
          <w:between w:val="none" w:color="000000" w:sz="0" w:space="0"/>
        </w:pBdr>
        <w:spacing w:after="120" w:afterLines="50"/>
        <w:jc w:val="both"/>
        <w:rPr>
          <w:rFonts w:eastAsia="黑体"/>
          <w:sz w:val="21"/>
          <w:szCs w:val="20"/>
          <w:lang w:eastAsia="zh-CN"/>
        </w:rPr>
      </w:pPr>
      <w:r>
        <w:rPr>
          <w:rFonts w:eastAsia="黑体"/>
          <w:sz w:val="21"/>
          <w:szCs w:val="20"/>
          <w:lang w:eastAsia="zh-CN"/>
        </w:rPr>
        <w:t>注：</w:t>
      </w:r>
      <w:r>
        <w:rPr>
          <w:rFonts w:hint="eastAsia" w:eastAsia="黑体"/>
          <w:sz w:val="21"/>
          <w:szCs w:val="20"/>
          <w:lang w:eastAsia="zh-CN"/>
        </w:rPr>
        <w:t>该</w:t>
      </w:r>
      <w:r>
        <w:rPr>
          <w:rFonts w:eastAsia="黑体"/>
          <w:sz w:val="21"/>
          <w:szCs w:val="20"/>
          <w:lang w:eastAsia="zh-CN"/>
        </w:rPr>
        <w:t>题目为多选题，</w:t>
      </w:r>
      <w:r>
        <w:rPr>
          <w:rFonts w:hint="eastAsia" w:eastAsia="黑体"/>
          <w:sz w:val="21"/>
          <w:szCs w:val="20"/>
          <w:lang w:eastAsia="zh-CN"/>
        </w:rPr>
        <w:t>因此选项</w:t>
      </w:r>
      <w:r>
        <w:rPr>
          <w:rFonts w:eastAsia="黑体"/>
          <w:sz w:val="21"/>
          <w:szCs w:val="20"/>
          <w:lang w:eastAsia="zh-CN"/>
        </w:rPr>
        <w:t>的</w:t>
      </w:r>
      <w:r>
        <w:rPr>
          <w:rFonts w:hint="eastAsia" w:eastAsia="黑体"/>
          <w:sz w:val="21"/>
          <w:szCs w:val="20"/>
          <w:lang w:eastAsia="zh-CN"/>
        </w:rPr>
        <w:t>百分比之和不是100.00%</w:t>
      </w:r>
      <w:r>
        <w:rPr>
          <w:rFonts w:eastAsia="黑体"/>
          <w:sz w:val="21"/>
          <w:szCs w:val="20"/>
          <w:lang w:eastAsia="zh-CN"/>
        </w:rPr>
        <w:t>。</w:t>
      </w:r>
    </w:p>
    <w:p>
      <w:pPr>
        <w:rPr>
          <w:snapToGrid/>
          <w:sz w:val="21"/>
          <w:lang w:eastAsia="zh-CN"/>
        </w:rPr>
      </w:pPr>
      <w:r>
        <w:rPr>
          <w:rFonts w:hint="eastAsia" w:ascii="仿宋" w:hAnsi="仿宋"/>
          <w:sz w:val="21"/>
          <w:lang w:eastAsia="zh-CN"/>
        </w:rPr>
        <w:t>数据来源：北京新锦成教育技术有限公司</w:t>
      </w:r>
    </w:p>
    <w:p>
      <w:pPr>
        <w:pStyle w:val="2"/>
        <w:ind w:firstLine="640"/>
        <w:rPr>
          <w:lang w:eastAsia="zh-CN"/>
        </w:rPr>
      </w:pPr>
      <w:bookmarkStart w:id="53" w:name="_Toc151887704"/>
      <w:r>
        <w:rPr>
          <w:rFonts w:hint="eastAsia"/>
          <w:lang w:eastAsia="zh-CN"/>
        </w:rPr>
        <w:t>四</w:t>
      </w:r>
      <w:r>
        <w:rPr>
          <w:lang w:eastAsia="zh-CN"/>
        </w:rPr>
        <w:t>、</w:t>
      </w:r>
      <w:r>
        <w:rPr>
          <w:rFonts w:hint="eastAsia"/>
          <w:lang w:eastAsia="zh-CN"/>
        </w:rPr>
        <w:t>薪酬</w:t>
      </w:r>
      <w:bookmarkEnd w:id="53"/>
    </w:p>
    <w:p>
      <w:pPr>
        <w:ind w:firstLine="640"/>
        <w:rPr>
          <w:lang w:eastAsia="zh-CN"/>
        </w:rPr>
      </w:pPr>
      <w:r>
        <w:rPr>
          <w:rFonts w:hint="eastAsia"/>
          <w:lang w:eastAsia="zh-CN"/>
        </w:rPr>
        <w:t>总体月均收入：</w:t>
      </w:r>
      <w:r>
        <w:rPr>
          <w:lang w:eastAsia="zh-CN"/>
        </w:rPr>
        <w:t>2022届</w:t>
      </w:r>
      <w:r>
        <w:rPr>
          <w:rFonts w:hint="eastAsia"/>
          <w:lang w:eastAsia="zh-CN"/>
        </w:rPr>
        <w:t>本科毕业生总体月均收入为5355元，</w:t>
      </w:r>
      <w:r>
        <w:rPr>
          <w:lang w:eastAsia="zh-CN"/>
        </w:rPr>
        <w:t>比全国高校2022</w:t>
      </w:r>
      <w:r>
        <w:rPr>
          <w:rFonts w:hint="eastAsia"/>
          <w:lang w:eastAsia="zh-CN"/>
        </w:rPr>
        <w:t>届毕业生月均收入（</w:t>
      </w:r>
      <w:r>
        <w:rPr>
          <w:lang w:eastAsia="zh-CN"/>
        </w:rPr>
        <w:t>5278</w:t>
      </w:r>
      <w:r>
        <w:rPr>
          <w:rFonts w:hint="eastAsia"/>
          <w:lang w:eastAsia="zh-CN"/>
        </w:rPr>
        <w:t>元</w:t>
      </w:r>
      <w:r>
        <w:rPr>
          <w:lang w:eastAsia="zh-CN"/>
        </w:rPr>
        <w:t>）</w:t>
      </w:r>
      <w:r>
        <w:rPr>
          <w:rFonts w:hint="eastAsia"/>
          <w:lang w:eastAsia="zh-CN"/>
        </w:rPr>
        <w:t>高77</w:t>
      </w:r>
      <w:r>
        <w:rPr>
          <w:lang w:eastAsia="zh-CN"/>
        </w:rPr>
        <w:t>元。</w:t>
      </w:r>
    </w:p>
    <w:p>
      <w:pPr>
        <w:pBdr>
          <w:top w:val="none" w:color="000000" w:sz="0" w:space="0"/>
          <w:left w:val="none" w:color="000000" w:sz="0" w:space="0"/>
          <w:bottom w:val="none" w:color="000000" w:sz="0" w:space="0"/>
          <w:right w:val="none" w:color="000000" w:sz="0" w:space="0"/>
          <w:between w:val="none" w:color="000000" w:sz="0" w:space="0"/>
        </w:pBdr>
        <w:spacing w:before="163" w:after="163" w:line="360" w:lineRule="auto"/>
        <w:ind w:firstLine="480"/>
        <w:jc w:val="center"/>
        <w:rPr>
          <w:rFonts w:eastAsia="宋体"/>
          <w:sz w:val="24"/>
          <w:szCs w:val="24"/>
          <w:lang w:val="zh-CN" w:eastAsia="zh-CN"/>
        </w:rPr>
      </w:pPr>
      <w:r>
        <w:rPr>
          <w:rFonts w:eastAsia="宋体"/>
          <w:sz w:val="24"/>
          <w:lang w:eastAsia="zh-CN"/>
        </w:rPr>
        <w:drawing>
          <wp:inline distT="0" distB="0" distL="0" distR="0">
            <wp:extent cx="4972050" cy="1809750"/>
            <wp:effectExtent l="0" t="0" r="6350" b="6350"/>
            <wp:docPr id="60" name="图表 9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bCs/>
          <w:sz w:val="21"/>
          <w:lang w:eastAsia="zh-CN"/>
        </w:rPr>
      </w:pPr>
      <w:r>
        <w:rPr>
          <w:rFonts w:hint="eastAsia" w:eastAsia="黑体"/>
          <w:b/>
          <w:sz w:val="21"/>
          <w:lang w:eastAsia="zh-CN"/>
        </w:rPr>
        <w:t>图3.</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8</w:t>
      </w:r>
      <w:r>
        <w:rPr>
          <w:rFonts w:eastAsia="黑体"/>
          <w:b/>
          <w:sz w:val="21"/>
          <w:lang w:eastAsia="zh-CN"/>
        </w:rPr>
        <w:fldChar w:fldCharType="end"/>
      </w:r>
      <w:r>
        <w:rPr>
          <w:rFonts w:eastAsia="黑体"/>
          <w:b/>
          <w:bCs/>
          <w:sz w:val="21"/>
          <w:lang w:eastAsia="zh-CN"/>
        </w:rPr>
        <w:t xml:space="preserve">  </w:t>
      </w:r>
      <w:r>
        <w:rPr>
          <w:rFonts w:eastAsia="黑体"/>
          <w:b/>
          <w:sz w:val="21"/>
          <w:lang w:eastAsia="zh-CN"/>
        </w:rPr>
        <w:t>2022届</w:t>
      </w:r>
      <w:r>
        <w:rPr>
          <w:rFonts w:hint="eastAsia" w:eastAsia="黑体"/>
          <w:b/>
          <w:bCs/>
          <w:sz w:val="21"/>
          <w:lang w:eastAsia="zh-CN"/>
        </w:rPr>
        <w:t>毕业生薪酬水平对比分析（单位</w:t>
      </w:r>
      <w:r>
        <w:rPr>
          <w:rFonts w:eastAsia="黑体"/>
          <w:b/>
          <w:bCs/>
          <w:sz w:val="21"/>
          <w:lang w:eastAsia="zh-CN"/>
        </w:rPr>
        <w:t>：元）</w:t>
      </w:r>
    </w:p>
    <w:p>
      <w:pPr>
        <w:rPr>
          <w:snapToGrid/>
          <w:sz w:val="21"/>
          <w:lang w:eastAsia="zh-CN"/>
        </w:rPr>
      </w:pPr>
      <w:r>
        <w:rPr>
          <w:rFonts w:hint="eastAsia" w:ascii="仿宋" w:hAnsi="仿宋"/>
          <w:sz w:val="21"/>
          <w:lang w:eastAsia="zh-CN"/>
        </w:rPr>
        <w:t>数据来源：北京新锦成教育技术有限公司</w:t>
      </w:r>
    </w:p>
    <w:p>
      <w:pPr>
        <w:pStyle w:val="3"/>
        <w:ind w:firstLine="643"/>
        <w:rPr>
          <w:lang w:val="zh-CN" w:eastAsia="zh-CN"/>
        </w:rPr>
      </w:pPr>
      <w:bookmarkStart w:id="54" w:name="_Toc151887705"/>
      <w:r>
        <w:rPr>
          <w:rFonts w:hint="eastAsia"/>
          <w:lang w:val="zh-CN" w:eastAsia="zh-CN"/>
        </w:rPr>
        <w:t>（一）</w:t>
      </w:r>
      <w:r>
        <w:rPr>
          <w:lang w:val="zh-CN" w:eastAsia="zh-CN"/>
        </w:rPr>
        <w:t>各</w:t>
      </w:r>
      <w:r>
        <w:rPr>
          <w:rFonts w:hint="eastAsia"/>
          <w:lang w:val="zh-CN" w:eastAsia="zh-CN"/>
        </w:rPr>
        <w:t>学院月均收入</w:t>
      </w:r>
      <w:bookmarkEnd w:id="54"/>
    </w:p>
    <w:p>
      <w:pPr>
        <w:ind w:firstLine="640"/>
        <w:rPr>
          <w:lang w:eastAsia="zh-CN"/>
        </w:rPr>
      </w:pPr>
      <w:r>
        <w:rPr>
          <w:rFonts w:hint="eastAsia"/>
          <w:lang w:eastAsia="zh-CN"/>
        </w:rPr>
        <w:t>各学院</w:t>
      </w:r>
      <w:r>
        <w:rPr>
          <w:lang w:eastAsia="zh-CN"/>
        </w:rPr>
        <w:t>月均收入：</w:t>
      </w:r>
      <w:r>
        <w:rPr>
          <w:rFonts w:hint="eastAsia"/>
          <w:lang w:eastAsia="zh-CN"/>
        </w:rPr>
        <w:t>2022届本科</w:t>
      </w:r>
      <w:r>
        <w:rPr>
          <w:lang w:eastAsia="zh-CN"/>
        </w:rPr>
        <w:t>毕业生</w:t>
      </w:r>
      <w:r>
        <w:rPr>
          <w:rFonts w:hint="eastAsia"/>
          <w:lang w:eastAsia="zh-CN"/>
        </w:rPr>
        <w:t>月收入水平最高的是“健康科学学院”（6400元）</w:t>
      </w:r>
      <w:r>
        <w:rPr>
          <w:lang w:eastAsia="zh-CN"/>
        </w:rPr>
        <w:t>。</w:t>
      </w:r>
    </w:p>
    <w:p>
      <w:pPr>
        <w:pBdr>
          <w:top w:val="none" w:color="000000" w:sz="0" w:space="0"/>
          <w:left w:val="none" w:color="000000" w:sz="0" w:space="0"/>
          <w:bottom w:val="none" w:color="000000" w:sz="0" w:space="0"/>
          <w:right w:val="none" w:color="000000" w:sz="0" w:space="0"/>
          <w:between w:val="none" w:color="000000" w:sz="0" w:space="0"/>
        </w:pBdr>
        <w:spacing w:after="163" w:line="240" w:lineRule="auto"/>
        <w:ind w:firstLine="480"/>
        <w:jc w:val="center"/>
        <w:rPr>
          <w:rFonts w:eastAsia="Calibri"/>
          <w:color w:val="auto"/>
          <w:sz w:val="21"/>
          <w:lang w:eastAsia="zh-CN"/>
        </w:rPr>
      </w:pPr>
      <w:r>
        <w:rPr>
          <w:rFonts w:ascii="Calibri" w:hAnsi="Calibri" w:eastAsia="Calibri" w:cs="宋体"/>
          <w:sz w:val="24"/>
          <w:lang w:eastAsia="zh-CN"/>
        </w:rPr>
        <w:drawing>
          <wp:inline distT="0" distB="0" distL="0" distR="0">
            <wp:extent cx="4876800" cy="2247900"/>
            <wp:effectExtent l="0" t="0" r="0" b="0"/>
            <wp:docPr id="61" name="图表 9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r>
        <w:rPr>
          <w:rFonts w:hint="eastAsia" w:eastAsia="黑体"/>
          <w:b/>
          <w:sz w:val="21"/>
          <w:lang w:eastAsia="zh-CN"/>
        </w:rPr>
        <w:t>图3.</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9</w:t>
      </w:r>
      <w:r>
        <w:rPr>
          <w:rFonts w:eastAsia="黑体"/>
          <w:b/>
          <w:sz w:val="21"/>
          <w:lang w:eastAsia="zh-CN"/>
        </w:rPr>
        <w:fldChar w:fldCharType="end"/>
      </w:r>
      <w:r>
        <w:rPr>
          <w:rFonts w:hint="eastAsia" w:eastAsia="宋体"/>
          <w:b/>
          <w:sz w:val="24"/>
          <w:szCs w:val="24"/>
          <w:lang w:eastAsia="zh-CN"/>
        </w:rPr>
        <w:t xml:space="preserve">  </w:t>
      </w:r>
      <w:r>
        <w:rPr>
          <w:rFonts w:eastAsia="宋体"/>
          <w:b/>
          <w:sz w:val="24"/>
          <w:szCs w:val="24"/>
          <w:lang w:eastAsia="zh-CN"/>
        </w:rPr>
        <w:t>2022届各</w:t>
      </w:r>
      <w:r>
        <w:rPr>
          <w:rFonts w:hint="eastAsia" w:eastAsia="宋体"/>
          <w:b/>
          <w:sz w:val="24"/>
          <w:szCs w:val="24"/>
          <w:lang w:eastAsia="zh-CN"/>
        </w:rPr>
        <w:t>学院毕业生月均收入</w:t>
      </w:r>
      <w:r>
        <w:rPr>
          <w:rFonts w:eastAsia="宋体"/>
          <w:b/>
          <w:sz w:val="24"/>
          <w:szCs w:val="24"/>
          <w:lang w:eastAsia="zh-CN"/>
        </w:rPr>
        <w:t>分布（单位：元）</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after="120" w:afterLines="50" w:line="240" w:lineRule="auto"/>
        <w:ind w:firstLineChars="0"/>
        <w:jc w:val="both"/>
        <w:textAlignment w:val="auto"/>
        <w:rPr>
          <w:rFonts w:ascii="黑体" w:hAnsi="黑体" w:eastAsia="黑体"/>
          <w:snapToGrid/>
          <w:sz w:val="21"/>
          <w:lang w:eastAsia="zh-CN"/>
        </w:rPr>
      </w:pPr>
      <w:r>
        <w:rPr>
          <w:rFonts w:hint="eastAsia" w:ascii="黑体" w:hAnsi="黑体" w:eastAsia="黑体"/>
          <w:snapToGrid/>
          <w:sz w:val="21"/>
          <w:lang w:eastAsia="zh-CN"/>
        </w:rPr>
        <w:t>注：*学院样本量较小，其分析结果仅供参考，不纳入到报告结论的分析范畴。</w:t>
      </w:r>
    </w:p>
    <w:p>
      <w:pPr>
        <w:rPr>
          <w:snapToGrid/>
          <w:sz w:val="21"/>
          <w:lang w:eastAsia="zh-CN"/>
        </w:rPr>
      </w:pPr>
      <w:r>
        <w:rPr>
          <w:rFonts w:hint="eastAsia" w:ascii="仿宋" w:hAnsi="仿宋"/>
          <w:sz w:val="21"/>
          <w:lang w:eastAsia="zh-CN"/>
        </w:rPr>
        <w:t>数据来源：北京新锦成教育技术有限公司</w:t>
      </w:r>
    </w:p>
    <w:p>
      <w:pPr>
        <w:pStyle w:val="3"/>
        <w:ind w:firstLine="643"/>
        <w:rPr>
          <w:lang w:val="zh-CN" w:eastAsia="zh-CN"/>
        </w:rPr>
      </w:pPr>
      <w:bookmarkStart w:id="55" w:name="_Toc151887706"/>
      <w:r>
        <w:rPr>
          <w:rFonts w:hint="eastAsia"/>
          <w:lang w:val="zh-CN" w:eastAsia="zh-CN"/>
        </w:rPr>
        <w:t>（二）</w:t>
      </w:r>
      <w:r>
        <w:rPr>
          <w:lang w:val="zh-CN" w:eastAsia="zh-CN"/>
        </w:rPr>
        <w:t>各</w:t>
      </w:r>
      <w:r>
        <w:rPr>
          <w:rFonts w:hint="eastAsia"/>
          <w:lang w:val="zh-CN" w:eastAsia="zh-CN"/>
        </w:rPr>
        <w:t>专业月均收入</w:t>
      </w:r>
      <w:bookmarkEnd w:id="55"/>
    </w:p>
    <w:p>
      <w:pPr>
        <w:ind w:firstLine="640"/>
        <w:rPr>
          <w:lang w:eastAsia="zh-CN"/>
        </w:rPr>
      </w:pPr>
      <w:r>
        <w:rPr>
          <w:rFonts w:hint="eastAsia"/>
          <w:lang w:eastAsia="zh-CN"/>
        </w:rPr>
        <w:t>各专业</w:t>
      </w:r>
      <w:r>
        <w:rPr>
          <w:lang w:eastAsia="zh-CN"/>
        </w:rPr>
        <w:t>月均收入：</w:t>
      </w:r>
      <w:r>
        <w:rPr>
          <w:rFonts w:hint="eastAsia"/>
          <w:lang w:eastAsia="zh-CN"/>
        </w:rPr>
        <w:t>“健康服务与管理”“制药工程”“护理”专业的毕业生</w:t>
      </w:r>
      <w:r>
        <w:rPr>
          <w:lang w:eastAsia="zh-CN"/>
        </w:rPr>
        <w:t>月均收入水平</w:t>
      </w:r>
      <w:r>
        <w:rPr>
          <w:rFonts w:hint="eastAsia"/>
          <w:lang w:eastAsia="zh-CN"/>
        </w:rPr>
        <w:t>相对较高</w:t>
      </w:r>
      <w:r>
        <w:rPr>
          <w:lang w:eastAsia="zh-CN"/>
        </w:rPr>
        <w:t>，</w:t>
      </w:r>
      <w:r>
        <w:rPr>
          <w:rFonts w:hint="eastAsia"/>
          <w:lang w:eastAsia="zh-CN"/>
        </w:rPr>
        <w:t>均在5350元及以上</w:t>
      </w:r>
      <w:r>
        <w:rPr>
          <w:lang w:eastAsia="zh-CN"/>
        </w:rPr>
        <w:t>；</w:t>
      </w:r>
      <w:r>
        <w:rPr>
          <w:rFonts w:hint="eastAsia"/>
          <w:lang w:eastAsia="zh-CN"/>
        </w:rPr>
        <w:t>而“物联网工程”</w:t>
      </w:r>
      <w:r>
        <w:rPr>
          <w:lang w:eastAsia="zh-CN"/>
        </w:rPr>
        <w:t>专业</w:t>
      </w:r>
      <w:r>
        <w:rPr>
          <w:rFonts w:hint="eastAsia"/>
          <w:lang w:eastAsia="zh-CN"/>
        </w:rPr>
        <w:t>的毕业生月均</w:t>
      </w:r>
      <w:r>
        <w:rPr>
          <w:lang w:eastAsia="zh-CN"/>
        </w:rPr>
        <w:t>收入水平</w:t>
      </w:r>
      <w:r>
        <w:rPr>
          <w:rFonts w:hint="eastAsia"/>
          <w:lang w:eastAsia="zh-CN"/>
        </w:rPr>
        <w:t>相对较低</w:t>
      </w:r>
      <w:r>
        <w:rPr>
          <w:lang w:eastAsia="zh-CN"/>
        </w:rPr>
        <w:t>，</w:t>
      </w:r>
      <w:r>
        <w:rPr>
          <w:rFonts w:hint="eastAsia"/>
          <w:lang w:eastAsia="zh-CN"/>
        </w:rPr>
        <w:t>为3533元</w:t>
      </w:r>
      <w:r>
        <w:rPr>
          <w:lang w:eastAsia="zh-CN"/>
        </w:rPr>
        <w:t>。</w:t>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r>
        <w:rPr>
          <w:rFonts w:hint="eastAsia" w:eastAsia="黑体"/>
          <w:b/>
          <w:sz w:val="21"/>
          <w:lang w:eastAsia="zh-CN"/>
        </w:rPr>
        <w:t>表3.</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表1-2-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5</w:t>
      </w:r>
      <w:r>
        <w:rPr>
          <w:rFonts w:eastAsia="黑体"/>
          <w:b/>
          <w:sz w:val="21"/>
          <w:lang w:eastAsia="zh-CN"/>
        </w:rPr>
        <w:fldChar w:fldCharType="end"/>
      </w:r>
      <w:r>
        <w:rPr>
          <w:rFonts w:eastAsia="黑体"/>
          <w:b/>
          <w:sz w:val="21"/>
          <w:lang w:eastAsia="zh-CN"/>
        </w:rPr>
        <w:t xml:space="preserve">  </w:t>
      </w:r>
      <w:r>
        <w:rPr>
          <w:rFonts w:eastAsia="宋体"/>
          <w:b/>
          <w:sz w:val="24"/>
          <w:szCs w:val="24"/>
          <w:lang w:eastAsia="zh-CN"/>
        </w:rPr>
        <w:t>2022届各专业</w:t>
      </w:r>
      <w:r>
        <w:rPr>
          <w:rFonts w:hint="eastAsia" w:eastAsia="宋体"/>
          <w:b/>
          <w:sz w:val="24"/>
          <w:szCs w:val="24"/>
          <w:lang w:eastAsia="zh-CN"/>
        </w:rPr>
        <w:t>毕业生月均收入</w:t>
      </w:r>
      <w:r>
        <w:rPr>
          <w:rFonts w:eastAsia="宋体"/>
          <w:b/>
          <w:sz w:val="24"/>
          <w:szCs w:val="24"/>
          <w:lang w:eastAsia="zh-CN"/>
        </w:rPr>
        <w:t>水平</w:t>
      </w:r>
      <w:r>
        <w:rPr>
          <w:rFonts w:hint="eastAsia" w:eastAsia="宋体"/>
          <w:b/>
          <w:sz w:val="24"/>
          <w:szCs w:val="24"/>
          <w:lang w:eastAsia="zh-CN"/>
        </w:rPr>
        <w:t>分布</w:t>
      </w:r>
      <w:r>
        <w:rPr>
          <w:rFonts w:eastAsia="宋体"/>
          <w:b/>
          <w:sz w:val="24"/>
          <w:szCs w:val="24"/>
          <w:lang w:eastAsia="zh-CN"/>
        </w:rPr>
        <w:t>（单位：元）</w:t>
      </w:r>
    </w:p>
    <w:tbl>
      <w:tblPr>
        <w:tblStyle w:val="30"/>
        <w:tblW w:w="5000" w:type="pct"/>
        <w:jc w:val="cente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6635"/>
        <w:gridCol w:w="3327"/>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jc w:val="center"/>
        </w:trPr>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color w:val="CCE8CF"/>
                <w:sz w:val="21"/>
                <w:lang w:eastAsia="zh-CN"/>
              </w:rPr>
            </w:pPr>
            <w:r>
              <w:rPr>
                <w:rFonts w:hint="eastAsia" w:ascii="宋体" w:hAnsi="宋体" w:eastAsia="宋体" w:cs="宋体"/>
                <w:b/>
                <w:bCs/>
                <w:snapToGrid/>
                <w:color w:val="CCE8CF"/>
                <w:sz w:val="21"/>
                <w:lang w:eastAsia="zh-CN"/>
              </w:rPr>
              <w:t>专业</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color w:val="CCE8CF"/>
                <w:sz w:val="21"/>
                <w:lang w:eastAsia="zh-CN"/>
              </w:rPr>
            </w:pPr>
            <w:r>
              <w:rPr>
                <w:rFonts w:hint="eastAsia" w:ascii="宋体" w:hAnsi="宋体" w:eastAsia="宋体" w:cs="宋体"/>
                <w:b/>
                <w:bCs/>
                <w:snapToGrid/>
                <w:color w:val="CCE8CF"/>
                <w:sz w:val="21"/>
                <w:lang w:eastAsia="zh-CN"/>
              </w:rPr>
              <w:t>薪酬均值</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健康服务与管理</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6400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制药工程</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5556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护理</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5350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大数据技术与应用</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5000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土木工程</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4848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机械设计制造类</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4824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物联网工程</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3533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化学工程与工艺</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*6250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水路运输与海事管理</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*4500</w:t>
            </w:r>
          </w:p>
        </w:tc>
      </w:tr>
    </w:tbl>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Chars="0"/>
        <w:jc w:val="both"/>
        <w:textAlignment w:val="auto"/>
        <w:rPr>
          <w:rFonts w:ascii="黑体" w:hAnsi="黑体" w:eastAsia="黑体"/>
          <w:snapToGrid/>
          <w:sz w:val="21"/>
          <w:lang w:eastAsia="zh-CN"/>
        </w:rPr>
      </w:pPr>
      <w:r>
        <w:rPr>
          <w:rFonts w:ascii="黑体" w:hAnsi="黑体" w:eastAsia="黑体"/>
          <w:snapToGrid/>
          <w:sz w:val="21"/>
          <w:lang w:eastAsia="zh-CN"/>
        </w:rPr>
        <w:t>注：</w:t>
      </w:r>
      <w:r>
        <w:rPr>
          <w:rFonts w:hint="eastAsia" w:ascii="黑体" w:hAnsi="黑体" w:eastAsia="黑体"/>
          <w:snapToGrid/>
          <w:sz w:val="21"/>
          <w:lang w:eastAsia="zh-CN"/>
        </w:rPr>
        <w:t>*</w:t>
      </w:r>
      <w:r>
        <w:rPr>
          <w:rFonts w:ascii="黑体" w:hAnsi="黑体" w:eastAsia="黑体"/>
          <w:snapToGrid/>
          <w:sz w:val="21"/>
          <w:lang w:eastAsia="zh-CN"/>
        </w:rPr>
        <w:t>专业样本量较小，其分析结果仅供参考，不纳入到报告结论的分析范畴。</w:t>
      </w:r>
    </w:p>
    <w:p>
      <w:pPr>
        <w:rPr>
          <w:snapToGrid/>
          <w:sz w:val="21"/>
          <w:lang w:eastAsia="zh-CN"/>
        </w:rPr>
      </w:pPr>
      <w:r>
        <w:rPr>
          <w:rFonts w:hint="eastAsia" w:ascii="仿宋" w:hAnsi="仿宋"/>
          <w:sz w:val="21"/>
          <w:lang w:eastAsia="zh-CN"/>
        </w:rPr>
        <w:t>数据来源：北京新锦成教育技术有限公司</w:t>
      </w:r>
    </w:p>
    <w:p>
      <w:pPr>
        <w:pStyle w:val="2"/>
        <w:ind w:firstLine="640"/>
        <w:rPr>
          <w:lang w:eastAsia="zh-CN"/>
        </w:rPr>
      </w:pPr>
      <w:bookmarkStart w:id="56" w:name="_Toc151887707"/>
      <w:r>
        <w:rPr>
          <w:rFonts w:hint="eastAsia"/>
          <w:lang w:eastAsia="zh-CN"/>
        </w:rPr>
        <w:t>五</w:t>
      </w:r>
      <w:r>
        <w:rPr>
          <w:lang w:eastAsia="zh-CN"/>
        </w:rPr>
        <w:t>、</w:t>
      </w:r>
      <w:r>
        <w:rPr>
          <w:rFonts w:hint="eastAsia"/>
          <w:lang w:eastAsia="zh-CN"/>
        </w:rPr>
        <w:t>专业对口度</w:t>
      </w:r>
      <w:bookmarkEnd w:id="56"/>
    </w:p>
    <w:p>
      <w:pPr>
        <w:ind w:firstLine="640"/>
        <w:rPr>
          <w:lang w:eastAsia="zh-CN"/>
        </w:rPr>
      </w:pPr>
      <w:r>
        <w:rPr>
          <w:rFonts w:hint="eastAsia"/>
          <w:lang w:eastAsia="zh-CN"/>
        </w:rPr>
        <w:t>专业对口度：</w:t>
      </w:r>
      <w:r>
        <w:rPr>
          <w:lang w:eastAsia="zh-CN"/>
        </w:rPr>
        <w:t>毕业生就业岗位与所学专业</w:t>
      </w:r>
      <w:r>
        <w:rPr>
          <w:rFonts w:hint="eastAsia"/>
          <w:lang w:eastAsia="zh-CN"/>
        </w:rPr>
        <w:t>的对口度具有重要意义。从事与专业对口的工作</w:t>
      </w:r>
      <w:r>
        <w:rPr>
          <w:lang w:eastAsia="zh-CN"/>
        </w:rPr>
        <w:t>一方面可以保证高校人才培养符合社会经济发展要求，不会造成专业人才培养的浪费</w:t>
      </w:r>
      <w:r>
        <w:rPr>
          <w:rFonts w:hint="eastAsia"/>
          <w:lang w:eastAsia="zh-CN"/>
        </w:rPr>
        <w:t>，</w:t>
      </w:r>
      <w:r>
        <w:rPr>
          <w:lang w:eastAsia="zh-CN"/>
        </w:rPr>
        <w:t>另一方面也有利于毕业生个人职业的发展。调查</w:t>
      </w:r>
      <w:r>
        <w:rPr>
          <w:rFonts w:hint="eastAsia"/>
          <w:lang w:eastAsia="zh-CN"/>
        </w:rPr>
        <w:t>了解</w:t>
      </w:r>
      <w:r>
        <w:rPr>
          <w:lang w:eastAsia="zh-CN"/>
        </w:rPr>
        <w:t>毕业生</w:t>
      </w:r>
      <w:r>
        <w:rPr>
          <w:rFonts w:hint="eastAsia"/>
          <w:lang w:eastAsia="zh-CN"/>
        </w:rPr>
        <w:t>目前</w:t>
      </w:r>
      <w:r>
        <w:rPr>
          <w:lang w:eastAsia="zh-CN"/>
        </w:rPr>
        <w:t>工作岗位与所学专业的</w:t>
      </w:r>
      <w:r>
        <w:rPr>
          <w:rFonts w:hint="eastAsia"/>
          <w:lang w:eastAsia="zh-CN"/>
        </w:rPr>
        <w:t>对口</w:t>
      </w:r>
      <w:r>
        <w:rPr>
          <w:lang w:eastAsia="zh-CN"/>
        </w:rPr>
        <w:t>情况，</w:t>
      </w:r>
      <w:r>
        <w:rPr>
          <w:rFonts w:hint="eastAsia"/>
          <w:lang w:eastAsia="zh-CN"/>
        </w:rPr>
        <w:t>其</w:t>
      </w:r>
      <w:r>
        <w:rPr>
          <w:lang w:eastAsia="zh-CN"/>
        </w:rPr>
        <w:t>评价维度包括</w:t>
      </w:r>
      <w:r>
        <w:rPr>
          <w:rFonts w:hint="eastAsia"/>
          <w:lang w:eastAsia="zh-CN"/>
        </w:rPr>
        <w:t>“</w:t>
      </w:r>
      <w:r>
        <w:rPr>
          <w:lang w:eastAsia="zh-CN"/>
        </w:rPr>
        <w:t>很不</w:t>
      </w:r>
      <w:r>
        <w:rPr>
          <w:rFonts w:hint="eastAsia"/>
          <w:lang w:eastAsia="zh-CN"/>
        </w:rPr>
        <w:t>对口</w:t>
      </w:r>
      <w:r>
        <w:rPr>
          <w:lang w:eastAsia="zh-CN"/>
        </w:rPr>
        <w:t>、不</w:t>
      </w:r>
      <w:r>
        <w:rPr>
          <w:rFonts w:hint="eastAsia"/>
          <w:lang w:eastAsia="zh-CN"/>
        </w:rPr>
        <w:t>对口</w:t>
      </w:r>
      <w:r>
        <w:rPr>
          <w:lang w:eastAsia="zh-CN"/>
        </w:rPr>
        <w:t>、</w:t>
      </w:r>
      <w:r>
        <w:rPr>
          <w:rFonts w:hint="eastAsia"/>
          <w:lang w:eastAsia="zh-CN"/>
        </w:rPr>
        <w:t>基本对口</w:t>
      </w:r>
      <w:r>
        <w:rPr>
          <w:lang w:eastAsia="zh-CN"/>
        </w:rPr>
        <w:t>、</w:t>
      </w:r>
      <w:r>
        <w:rPr>
          <w:rFonts w:hint="eastAsia"/>
          <w:lang w:eastAsia="zh-CN"/>
        </w:rPr>
        <w:t>对口</w:t>
      </w:r>
      <w:r>
        <w:rPr>
          <w:lang w:eastAsia="zh-CN"/>
        </w:rPr>
        <w:t>、很</w:t>
      </w:r>
      <w:r>
        <w:rPr>
          <w:rFonts w:hint="eastAsia"/>
          <w:lang w:eastAsia="zh-CN"/>
        </w:rPr>
        <w:t>对口、无法评价”；专业对口度为</w:t>
      </w:r>
      <w:r>
        <w:rPr>
          <w:lang w:eastAsia="zh-CN"/>
        </w:rPr>
        <w:t>选择</w:t>
      </w:r>
      <w:r>
        <w:rPr>
          <w:rFonts w:hint="eastAsia"/>
          <w:lang w:eastAsia="zh-CN"/>
        </w:rPr>
        <w:t>“很对口”“对口”“基本对口”的</w:t>
      </w:r>
      <w:r>
        <w:rPr>
          <w:lang w:eastAsia="zh-CN"/>
        </w:rPr>
        <w:t>人数</w:t>
      </w:r>
      <w:r>
        <w:rPr>
          <w:rFonts w:hint="eastAsia"/>
          <w:lang w:eastAsia="zh-CN"/>
        </w:rPr>
        <w:t>占“回答此题总人数-无法评价人数”</w:t>
      </w:r>
      <w:r>
        <w:rPr>
          <w:lang w:eastAsia="zh-CN"/>
        </w:rPr>
        <w:t>的比例</w:t>
      </w:r>
      <w:r>
        <w:rPr>
          <w:rFonts w:hint="eastAsia"/>
          <w:lang w:eastAsia="zh-CN"/>
        </w:rPr>
        <w:t>，另外针对毕业生的反馈分别赋予</w:t>
      </w:r>
      <w:r>
        <w:rPr>
          <w:lang w:eastAsia="zh-CN"/>
        </w:rPr>
        <w:t>1-5</w:t>
      </w:r>
      <w:r>
        <w:rPr>
          <w:rFonts w:hint="eastAsia"/>
          <w:lang w:eastAsia="zh-CN"/>
        </w:rPr>
        <w:t>分（“很不对口”=</w:t>
      </w:r>
      <w:r>
        <w:rPr>
          <w:lang w:eastAsia="zh-CN"/>
        </w:rPr>
        <w:t>1分</w:t>
      </w:r>
      <w:r>
        <w:rPr>
          <w:rFonts w:hint="eastAsia"/>
          <w:lang w:eastAsia="zh-CN"/>
        </w:rPr>
        <w:t>，“很对口”=</w:t>
      </w:r>
      <w:r>
        <w:rPr>
          <w:lang w:eastAsia="zh-CN"/>
        </w:rPr>
        <w:t>5分</w:t>
      </w:r>
      <w:r>
        <w:rPr>
          <w:rFonts w:hint="eastAsia"/>
          <w:lang w:eastAsia="zh-CN"/>
        </w:rPr>
        <w:t>），计算其均值。</w:t>
      </w:r>
      <w:r>
        <w:rPr>
          <w:lang w:eastAsia="zh-CN"/>
        </w:rPr>
        <w:t>具体内容如下所</w:t>
      </w:r>
      <w:r>
        <w:rPr>
          <w:rFonts w:hint="eastAsia"/>
          <w:lang w:eastAsia="zh-CN"/>
        </w:rPr>
        <w:t>示</w:t>
      </w:r>
      <w:r>
        <w:rPr>
          <w:lang w:eastAsia="zh-CN"/>
        </w:rPr>
        <w:t>。</w:t>
      </w:r>
    </w:p>
    <w:p>
      <w:pPr>
        <w:ind w:firstLine="640"/>
        <w:rPr>
          <w:lang w:eastAsia="zh-CN"/>
        </w:rPr>
      </w:pPr>
      <w:r>
        <w:rPr>
          <w:rFonts w:hint="eastAsia"/>
          <w:lang w:eastAsia="zh-CN"/>
        </w:rPr>
        <w:t>总体专业对口度</w:t>
      </w:r>
      <w:r>
        <w:rPr>
          <w:lang w:eastAsia="zh-CN"/>
        </w:rPr>
        <w:t>：2022届毕业生的总体专业对口度为</w:t>
      </w:r>
      <w:r>
        <w:rPr>
          <w:rFonts w:hint="eastAsia"/>
          <w:lang w:val="zh-CN" w:eastAsia="zh-CN"/>
        </w:rPr>
        <w:t>74.83%</w:t>
      </w:r>
      <w:r>
        <w:rPr>
          <w:lang w:eastAsia="zh-CN"/>
        </w:rPr>
        <w:t>；其中，</w:t>
      </w:r>
      <w:r>
        <w:rPr>
          <w:rFonts w:hint="eastAsia"/>
          <w:lang w:eastAsia="zh-CN"/>
        </w:rPr>
        <w:t>15.26%的毕业生认为目前的工作岗位与所学专业的对口度“很对口”；另外，目前工作与所学专业的对口度均值为</w:t>
      </w:r>
      <w:r>
        <w:rPr>
          <w:rFonts w:hint="eastAsia"/>
          <w:lang w:val="zh-CN" w:eastAsia="zh-CN"/>
        </w:rPr>
        <w:t>3.18</w:t>
      </w:r>
      <w:r>
        <w:rPr>
          <w:rFonts w:hint="eastAsia"/>
          <w:lang w:eastAsia="zh-CN"/>
        </w:rPr>
        <w:t>分（</w:t>
      </w:r>
      <w:r>
        <w:rPr>
          <w:lang w:eastAsia="zh-CN"/>
        </w:rPr>
        <w:t>5</w:t>
      </w:r>
      <w:r>
        <w:rPr>
          <w:rFonts w:hint="eastAsia"/>
          <w:lang w:eastAsia="zh-CN"/>
        </w:rPr>
        <w:t>分制）。</w:t>
      </w:r>
    </w:p>
    <w:p>
      <w:pPr>
        <w:pBdr>
          <w:top w:val="none" w:color="000000" w:sz="0" w:space="0"/>
          <w:left w:val="none" w:color="000000" w:sz="0" w:space="0"/>
          <w:bottom w:val="none" w:color="000000" w:sz="0" w:space="0"/>
          <w:right w:val="none" w:color="000000" w:sz="0" w:space="0"/>
          <w:between w:val="none" w:color="000000" w:sz="0" w:space="0"/>
        </w:pBdr>
        <w:spacing w:line="360" w:lineRule="auto"/>
        <w:ind w:firstLine="480"/>
        <w:jc w:val="center"/>
        <w:rPr>
          <w:rFonts w:eastAsia="Calibri" w:cs="宋体"/>
          <w:sz w:val="24"/>
          <w:lang w:eastAsia="zh-CN"/>
        </w:rPr>
      </w:pPr>
      <w:r>
        <w:rPr>
          <w:rFonts w:eastAsia="Calibri" w:cs="宋体"/>
          <w:sz w:val="24"/>
          <w:lang w:eastAsia="zh-CN"/>
        </w:rPr>
        <w:drawing>
          <wp:inline distT="0" distB="0" distL="0" distR="0">
            <wp:extent cx="4622800" cy="1896745"/>
            <wp:effectExtent l="5080" t="4445" r="7620" b="16510"/>
            <wp:docPr id="62" name="图表 9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宋体"/>
          <w:b/>
          <w:sz w:val="24"/>
          <w:szCs w:val="24"/>
          <w:lang w:eastAsia="zh-CN"/>
        </w:rPr>
      </w:pPr>
      <w:r>
        <w:rPr>
          <w:rFonts w:hint="eastAsia" w:eastAsia="黑体"/>
          <w:b/>
          <w:sz w:val="21"/>
          <w:lang w:eastAsia="zh-CN"/>
        </w:rPr>
        <w:t xml:space="preserve">图3. </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10</w:t>
      </w:r>
      <w:r>
        <w:rPr>
          <w:rFonts w:eastAsia="黑体"/>
          <w:b/>
          <w:sz w:val="21"/>
          <w:lang w:eastAsia="zh-CN"/>
        </w:rPr>
        <w:fldChar w:fldCharType="end"/>
      </w:r>
      <w:r>
        <w:rPr>
          <w:rFonts w:hint="eastAsia" w:eastAsia="宋体"/>
          <w:b/>
          <w:sz w:val="24"/>
          <w:szCs w:val="24"/>
          <w:lang w:eastAsia="zh-CN"/>
        </w:rPr>
        <w:t xml:space="preserve">  </w:t>
      </w:r>
      <w:r>
        <w:rPr>
          <w:rFonts w:eastAsia="黑体"/>
          <w:b/>
          <w:bCs/>
          <w:sz w:val="21"/>
          <w:lang w:eastAsia="zh-CN"/>
        </w:rPr>
        <w:t>2022届</w:t>
      </w:r>
      <w:r>
        <w:rPr>
          <w:rFonts w:hint="eastAsia" w:eastAsia="宋体"/>
          <w:b/>
          <w:sz w:val="24"/>
          <w:szCs w:val="24"/>
          <w:lang w:eastAsia="zh-CN"/>
        </w:rPr>
        <w:t>毕业生</w:t>
      </w:r>
      <w:r>
        <w:rPr>
          <w:rFonts w:eastAsia="宋体"/>
          <w:b/>
          <w:sz w:val="24"/>
          <w:szCs w:val="24"/>
          <w:lang w:eastAsia="zh-CN"/>
        </w:rPr>
        <w:t>专业对口度分布</w:t>
      </w:r>
    </w:p>
    <w:p>
      <w:pPr>
        <w:rPr>
          <w:snapToGrid/>
          <w:sz w:val="21"/>
          <w:lang w:eastAsia="zh-CN"/>
        </w:rPr>
      </w:pPr>
      <w:r>
        <w:rPr>
          <w:rFonts w:hint="eastAsia" w:ascii="仿宋" w:hAnsi="仿宋"/>
          <w:sz w:val="21"/>
          <w:lang w:eastAsia="zh-CN"/>
        </w:rPr>
        <w:t>数据来源：北京新锦成教育技术有限公司</w:t>
      </w:r>
    </w:p>
    <w:p>
      <w:pPr>
        <w:ind w:firstLine="640"/>
        <w:rPr>
          <w:lang w:eastAsia="zh-CN"/>
        </w:rPr>
      </w:pPr>
      <w:r>
        <w:rPr>
          <w:lang w:eastAsia="zh-CN"/>
        </w:rPr>
        <w:t>本校2022届毕业生专业对口度（</w:t>
      </w:r>
      <w:r>
        <w:rPr>
          <w:rFonts w:hint="eastAsia"/>
          <w:lang w:val="zh-CN" w:eastAsia="zh-CN"/>
        </w:rPr>
        <w:t>74.83%</w:t>
      </w:r>
      <w:r>
        <w:rPr>
          <w:lang w:eastAsia="zh-CN"/>
        </w:rPr>
        <w:t>）比全国高校2022届毕业生专业对口度（77.26%）低</w:t>
      </w:r>
      <w:r>
        <w:rPr>
          <w:rFonts w:hint="eastAsia"/>
          <w:lang w:eastAsia="zh-CN"/>
        </w:rPr>
        <w:t>2</w:t>
      </w:r>
      <w:r>
        <w:rPr>
          <w:lang w:eastAsia="zh-CN"/>
        </w:rPr>
        <w:t>.43个百分点</w:t>
      </w:r>
      <w:r>
        <w:rPr>
          <w:rFonts w:hint="eastAsia"/>
          <w:lang w:eastAsia="zh-CN"/>
        </w:rPr>
        <w:t>。</w:t>
      </w:r>
    </w:p>
    <w:p>
      <w:pPr>
        <w:pBdr>
          <w:top w:val="none" w:color="000000" w:sz="0" w:space="0"/>
          <w:left w:val="none" w:color="000000" w:sz="0" w:space="0"/>
          <w:bottom w:val="none" w:color="000000" w:sz="0" w:space="0"/>
          <w:right w:val="none" w:color="000000" w:sz="0" w:space="0"/>
          <w:between w:val="none" w:color="000000" w:sz="0" w:space="0"/>
        </w:pBdr>
        <w:spacing w:before="163" w:after="163" w:line="360" w:lineRule="auto"/>
        <w:ind w:firstLine="480"/>
        <w:jc w:val="center"/>
        <w:rPr>
          <w:rFonts w:eastAsia="宋体"/>
          <w:sz w:val="24"/>
          <w:szCs w:val="24"/>
          <w:lang w:val="zh-CN" w:eastAsia="zh-CN"/>
        </w:rPr>
      </w:pPr>
      <w:r>
        <w:rPr>
          <w:rFonts w:eastAsia="宋体"/>
          <w:sz w:val="24"/>
          <w:lang w:eastAsia="zh-CN"/>
        </w:rPr>
        <w:drawing>
          <wp:inline distT="0" distB="0" distL="0" distR="0">
            <wp:extent cx="4953000" cy="1419225"/>
            <wp:effectExtent l="0" t="0" r="0" b="3175"/>
            <wp:docPr id="63" name="图表 9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bCs/>
          <w:sz w:val="21"/>
          <w:lang w:eastAsia="zh-CN"/>
        </w:rPr>
      </w:pPr>
      <w:r>
        <w:rPr>
          <w:rFonts w:hint="eastAsia" w:eastAsia="黑体"/>
          <w:b/>
          <w:sz w:val="21"/>
          <w:lang w:eastAsia="zh-CN"/>
        </w:rPr>
        <w:t>图3.</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11</w:t>
      </w:r>
      <w:r>
        <w:rPr>
          <w:rFonts w:eastAsia="黑体"/>
          <w:b/>
          <w:sz w:val="21"/>
          <w:lang w:eastAsia="zh-CN"/>
        </w:rPr>
        <w:fldChar w:fldCharType="end"/>
      </w:r>
      <w:r>
        <w:rPr>
          <w:rFonts w:eastAsia="黑体"/>
          <w:b/>
          <w:bCs/>
          <w:sz w:val="21"/>
          <w:lang w:eastAsia="zh-CN"/>
        </w:rPr>
        <w:t xml:space="preserve">  </w:t>
      </w:r>
      <w:r>
        <w:rPr>
          <w:rFonts w:eastAsia="黑体"/>
          <w:b/>
          <w:sz w:val="21"/>
          <w:lang w:eastAsia="zh-CN"/>
        </w:rPr>
        <w:t>2022届</w:t>
      </w:r>
      <w:r>
        <w:rPr>
          <w:rFonts w:hint="eastAsia" w:eastAsia="黑体"/>
          <w:b/>
          <w:bCs/>
          <w:sz w:val="21"/>
          <w:lang w:eastAsia="zh-CN"/>
        </w:rPr>
        <w:t>毕业生专业对口度对比分析</w:t>
      </w:r>
    </w:p>
    <w:p>
      <w:pPr>
        <w:rPr>
          <w:snapToGrid/>
          <w:sz w:val="21"/>
          <w:lang w:eastAsia="zh-CN"/>
        </w:rPr>
      </w:pPr>
      <w:r>
        <w:rPr>
          <w:rFonts w:hint="eastAsia" w:ascii="仿宋" w:hAnsi="仿宋"/>
          <w:sz w:val="21"/>
          <w:lang w:eastAsia="zh-CN"/>
        </w:rPr>
        <w:t>数据来源：北京新锦成教育技术有限公司</w:t>
      </w:r>
    </w:p>
    <w:p>
      <w:pPr>
        <w:ind w:firstLine="640"/>
        <w:rPr>
          <w:lang w:eastAsia="zh-CN"/>
        </w:rPr>
      </w:pPr>
      <w:r>
        <w:rPr>
          <w:rFonts w:hint="eastAsia"/>
          <w:lang w:eastAsia="zh-CN"/>
        </w:rPr>
        <w:t>毕业生目前从事工作与专业不对口的原因</w:t>
      </w:r>
      <w:r>
        <w:rPr>
          <w:lang w:eastAsia="zh-CN"/>
        </w:rPr>
        <w:t>：2022届</w:t>
      </w:r>
      <w:r>
        <w:rPr>
          <w:rFonts w:hint="eastAsia"/>
          <w:lang w:eastAsia="zh-CN"/>
        </w:rPr>
        <w:t>毕业生从事专业不对口工作的原因主要是“想找对口工作，但是就业机会太少”，占比为36.36%。</w:t>
      </w:r>
    </w:p>
    <w:p>
      <w:pPr>
        <w:pBdr>
          <w:top w:val="none" w:color="000000" w:sz="0" w:space="0"/>
          <w:left w:val="none" w:color="000000" w:sz="0" w:space="0"/>
          <w:bottom w:val="none" w:color="000000" w:sz="0" w:space="0"/>
          <w:right w:val="none" w:color="000000" w:sz="0" w:space="0"/>
          <w:between w:val="none" w:color="000000" w:sz="0" w:space="0"/>
        </w:pBdr>
        <w:ind w:firstLine="360"/>
        <w:rPr>
          <w:rFonts w:eastAsia="Calibri" w:cs="Calibri"/>
          <w:caps/>
          <w:sz w:val="18"/>
          <w:szCs w:val="20"/>
          <w:lang w:eastAsia="zh-CN"/>
        </w:rPr>
      </w:pPr>
      <w:r>
        <w:rPr>
          <w:rFonts w:eastAsia="Calibri" w:cs="Calibri"/>
          <w:caps/>
          <w:sz w:val="18"/>
          <w:szCs w:val="20"/>
          <w:lang w:eastAsia="zh-CN"/>
        </w:rPr>
        <w:drawing>
          <wp:anchor distT="0" distB="0" distL="114300" distR="114300" simplePos="0" relativeHeight="251660288" behindDoc="0" locked="0" layoutInCell="1" allowOverlap="1">
            <wp:simplePos x="0" y="0"/>
            <wp:positionH relativeFrom="column">
              <wp:posOffset>368935</wp:posOffset>
            </wp:positionH>
            <wp:positionV relativeFrom="paragraph">
              <wp:posOffset>100330</wp:posOffset>
            </wp:positionV>
            <wp:extent cx="5397500" cy="1631950"/>
            <wp:effectExtent l="0" t="0" r="0" b="6350"/>
            <wp:wrapNone/>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r>
        <w:rPr>
          <w:rFonts w:hint="eastAsia" w:eastAsia="黑体"/>
          <w:b/>
          <w:sz w:val="21"/>
          <w:lang w:eastAsia="zh-CN"/>
        </w:rPr>
        <w:t>图3.</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12</w:t>
      </w:r>
      <w:r>
        <w:rPr>
          <w:rFonts w:eastAsia="黑体"/>
          <w:b/>
          <w:sz w:val="21"/>
          <w:lang w:eastAsia="zh-CN"/>
        </w:rPr>
        <w:fldChar w:fldCharType="end"/>
      </w:r>
      <w:r>
        <w:rPr>
          <w:rFonts w:hint="eastAsia" w:eastAsia="黑体"/>
          <w:b/>
          <w:sz w:val="21"/>
          <w:lang w:eastAsia="zh-CN"/>
        </w:rPr>
        <w:t xml:space="preserve">  </w:t>
      </w:r>
      <w:r>
        <w:rPr>
          <w:rFonts w:eastAsia="黑体"/>
          <w:b/>
          <w:sz w:val="21"/>
          <w:lang w:eastAsia="zh-CN"/>
        </w:rPr>
        <w:t>2022届</w:t>
      </w:r>
      <w:r>
        <w:rPr>
          <w:rFonts w:hint="eastAsia" w:eastAsia="黑体"/>
          <w:b/>
          <w:sz w:val="21"/>
          <w:lang w:eastAsia="zh-CN"/>
        </w:rPr>
        <w:t>毕业生目前从事工作与专业不对口的原因分析</w:t>
      </w:r>
    </w:p>
    <w:p>
      <w:pPr>
        <w:rPr>
          <w:snapToGrid/>
          <w:sz w:val="21"/>
          <w:lang w:eastAsia="zh-CN"/>
        </w:rPr>
      </w:pPr>
      <w:r>
        <w:rPr>
          <w:rFonts w:hint="eastAsia" w:ascii="仿宋" w:hAnsi="仿宋"/>
          <w:sz w:val="21"/>
          <w:lang w:eastAsia="zh-CN"/>
        </w:rPr>
        <w:t>数据来源：北京新锦成教育技术有限公司</w:t>
      </w:r>
    </w:p>
    <w:p>
      <w:pPr>
        <w:pStyle w:val="3"/>
        <w:ind w:firstLine="643"/>
        <w:rPr>
          <w:lang w:val="zh-CN" w:eastAsia="zh-CN"/>
        </w:rPr>
      </w:pPr>
      <w:bookmarkStart w:id="57" w:name="_Toc151887708"/>
      <w:r>
        <w:rPr>
          <w:rFonts w:hint="eastAsia"/>
          <w:lang w:val="zh-CN" w:eastAsia="zh-CN"/>
        </w:rPr>
        <w:t>（一）</w:t>
      </w:r>
      <w:r>
        <w:rPr>
          <w:lang w:val="zh-CN" w:eastAsia="zh-CN"/>
        </w:rPr>
        <w:t>各</w:t>
      </w:r>
      <w:r>
        <w:rPr>
          <w:rFonts w:hint="eastAsia"/>
          <w:lang w:val="zh-CN" w:eastAsia="zh-CN"/>
        </w:rPr>
        <w:t>学院专业对口度</w:t>
      </w:r>
      <w:bookmarkEnd w:id="57"/>
    </w:p>
    <w:p>
      <w:pPr>
        <w:ind w:firstLine="640"/>
        <w:rPr>
          <w:lang w:eastAsia="zh-CN"/>
        </w:rPr>
      </w:pPr>
      <w:r>
        <w:rPr>
          <w:rFonts w:hint="eastAsia"/>
          <w:lang w:eastAsia="zh-CN"/>
        </w:rPr>
        <w:t>各学院专业对口度</w:t>
      </w:r>
      <w:r>
        <w:rPr>
          <w:lang w:eastAsia="zh-CN"/>
        </w:rPr>
        <w:t>：</w:t>
      </w:r>
      <w:r>
        <w:rPr>
          <w:rFonts w:hint="eastAsia"/>
          <w:lang w:val="zh-CN" w:eastAsia="zh-CN"/>
        </w:rPr>
        <w:t>“化学与材料工程学院”</w:t>
      </w:r>
      <w:r>
        <w:rPr>
          <w:rFonts w:hint="eastAsia"/>
          <w:lang w:eastAsia="zh-CN"/>
        </w:rPr>
        <w:t>毕业生的专业对口度（</w:t>
      </w:r>
      <w:r>
        <w:rPr>
          <w:rFonts w:hint="eastAsia"/>
          <w:lang w:val="zh-CN" w:eastAsia="zh-CN"/>
        </w:rPr>
        <w:t>94.44%</w:t>
      </w:r>
      <w:r>
        <w:rPr>
          <w:lang w:eastAsia="zh-CN"/>
        </w:rPr>
        <w:t>）</w:t>
      </w:r>
      <w:r>
        <w:rPr>
          <w:rFonts w:hint="eastAsia"/>
          <w:lang w:eastAsia="zh-CN"/>
        </w:rPr>
        <w:t>最高；</w:t>
      </w:r>
      <w:r>
        <w:rPr>
          <w:rFonts w:hint="eastAsia"/>
          <w:lang w:val="zh-CN" w:eastAsia="zh-CN"/>
        </w:rPr>
        <w:t>而“健康科学学院”毕业生的专业对口度（25.00%</w:t>
      </w:r>
      <w:r>
        <w:rPr>
          <w:lang w:val="zh-CN" w:eastAsia="zh-CN"/>
        </w:rPr>
        <w:t>）</w:t>
      </w:r>
      <w:r>
        <w:rPr>
          <w:rFonts w:hint="eastAsia"/>
          <w:lang w:val="zh-CN" w:eastAsia="zh-CN"/>
        </w:rPr>
        <w:t>相对较低</w:t>
      </w:r>
      <w:r>
        <w:rPr>
          <w:rFonts w:hint="eastAsia"/>
          <w:lang w:eastAsia="zh-CN"/>
        </w:rPr>
        <w:t>。</w:t>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r>
        <w:rPr>
          <w:rFonts w:hint="eastAsia" w:eastAsia="黑体"/>
          <w:b/>
          <w:sz w:val="21"/>
          <w:lang w:eastAsia="zh-CN"/>
        </w:rPr>
        <w:t>表3.</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表1-2-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6</w:t>
      </w:r>
      <w:r>
        <w:rPr>
          <w:rFonts w:eastAsia="黑体"/>
          <w:b/>
          <w:sz w:val="21"/>
          <w:lang w:eastAsia="zh-CN"/>
        </w:rPr>
        <w:fldChar w:fldCharType="end"/>
      </w:r>
      <w:r>
        <w:rPr>
          <w:rFonts w:eastAsia="黑体"/>
          <w:b/>
          <w:sz w:val="21"/>
          <w:lang w:eastAsia="zh-CN"/>
        </w:rPr>
        <w:t xml:space="preserve">  </w:t>
      </w:r>
      <w:r>
        <w:rPr>
          <w:rFonts w:hint="eastAsia" w:eastAsia="黑体"/>
          <w:b/>
          <w:sz w:val="21"/>
          <w:lang w:eastAsia="zh-CN"/>
        </w:rPr>
        <w:t>2022届各学院毕业生专业对口情况分布</w:t>
      </w:r>
    </w:p>
    <w:tbl>
      <w:tblPr>
        <w:tblStyle w:val="30"/>
        <w:tblW w:w="5469" w:type="pct"/>
        <w:jc w:val="cente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2715"/>
        <w:gridCol w:w="1110"/>
        <w:gridCol w:w="1110"/>
        <w:gridCol w:w="1361"/>
        <w:gridCol w:w="1244"/>
        <w:gridCol w:w="1361"/>
        <w:gridCol w:w="1110"/>
        <w:gridCol w:w="885"/>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jc w:val="center"/>
        </w:trPr>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b/>
                <w:bCs/>
                <w:snapToGrid/>
                <w:color w:val="CCE8CF"/>
                <w:sz w:val="21"/>
                <w:lang w:eastAsia="zh-CN"/>
              </w:rPr>
              <w:t>学院</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b/>
                <w:bCs/>
                <w:snapToGrid/>
                <w:color w:val="CCE8CF"/>
                <w:sz w:val="21"/>
                <w:lang w:eastAsia="zh-CN"/>
              </w:rPr>
              <w:t>很对口</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b/>
                <w:bCs/>
                <w:snapToGrid/>
                <w:color w:val="CCE8CF"/>
                <w:sz w:val="21"/>
                <w:lang w:eastAsia="zh-CN"/>
              </w:rPr>
              <w:t>对口</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b/>
                <w:bCs/>
                <w:snapToGrid/>
                <w:color w:val="CCE8CF"/>
                <w:sz w:val="21"/>
                <w:lang w:eastAsia="zh-CN"/>
              </w:rPr>
              <w:t>基本对口</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b/>
                <w:bCs/>
                <w:snapToGrid/>
                <w:color w:val="CCE8CF"/>
                <w:sz w:val="21"/>
                <w:lang w:eastAsia="zh-CN"/>
              </w:rPr>
              <w:t>不对口</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b/>
                <w:bCs/>
                <w:snapToGrid/>
                <w:color w:val="CCE8CF"/>
                <w:sz w:val="21"/>
                <w:lang w:eastAsia="zh-CN"/>
              </w:rPr>
              <w:t>很不对口</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b/>
                <w:bCs/>
                <w:snapToGrid/>
                <w:color w:val="CCE8CF"/>
                <w:sz w:val="21"/>
                <w:lang w:eastAsia="zh-CN"/>
              </w:rPr>
              <w:t>对口度</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b/>
                <w:bCs/>
                <w:snapToGrid/>
                <w:color w:val="CCE8CF"/>
                <w:sz w:val="21"/>
                <w:lang w:eastAsia="zh-CN"/>
              </w:rPr>
              <w:t>均值</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化学与材料工程学院</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83.33%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11.11%</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5.56%</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94.44%</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3.78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国际护理学院</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22.22%</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44.44%</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22.22%</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11.11%</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88.89%</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3.67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城建学院</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38.89%</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38.89%</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22.22%</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77.78%</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3.17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机电工程学院</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9.09%</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45.45%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27.27%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8.18%</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64.55%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2.85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信息工程学院</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5.88%</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31.76%</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23.53%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23.53%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15.29%</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61.18%</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2.79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健康科学学院</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12.50%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12.50%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37.50%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17.50%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45.00%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2.63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海事学院</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*1.50</w:t>
            </w:r>
          </w:p>
        </w:tc>
      </w:tr>
    </w:tbl>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after="120" w:afterLines="50" w:line="240" w:lineRule="auto"/>
        <w:ind w:firstLineChars="0"/>
        <w:jc w:val="both"/>
        <w:textAlignment w:val="auto"/>
        <w:rPr>
          <w:rFonts w:ascii="黑体" w:hAnsi="黑体" w:eastAsia="黑体"/>
          <w:snapToGrid/>
          <w:sz w:val="21"/>
          <w:lang w:eastAsia="zh-CN"/>
        </w:rPr>
      </w:pPr>
      <w:r>
        <w:rPr>
          <w:rFonts w:hint="eastAsia" w:ascii="黑体" w:hAnsi="黑体" w:eastAsia="黑体"/>
          <w:snapToGrid/>
          <w:sz w:val="21"/>
          <w:lang w:eastAsia="zh-CN"/>
        </w:rPr>
        <w:t>注</w:t>
      </w:r>
      <w:r>
        <w:rPr>
          <w:rFonts w:ascii="黑体" w:hAnsi="黑体" w:eastAsia="黑体"/>
          <w:snapToGrid/>
          <w:sz w:val="21"/>
          <w:lang w:eastAsia="zh-CN"/>
        </w:rPr>
        <w:t>：</w:t>
      </w:r>
      <w:r>
        <w:rPr>
          <w:rFonts w:hint="eastAsia" w:ascii="黑体" w:hAnsi="黑体" w:eastAsia="黑体"/>
          <w:snapToGrid/>
          <w:sz w:val="21"/>
          <w:lang w:eastAsia="zh-CN"/>
        </w:rPr>
        <w:t>*学院样本量较小，其分析结果仅供参考，不纳入到报告结论的分析范畴。</w:t>
      </w:r>
    </w:p>
    <w:p>
      <w:pPr>
        <w:rPr>
          <w:snapToGrid/>
          <w:sz w:val="21"/>
          <w:lang w:eastAsia="zh-CN"/>
        </w:rPr>
      </w:pPr>
      <w:r>
        <w:rPr>
          <w:rFonts w:hint="eastAsia" w:ascii="仿宋" w:hAnsi="仿宋"/>
          <w:sz w:val="21"/>
          <w:lang w:eastAsia="zh-CN"/>
        </w:rPr>
        <w:t>数据来源：北京新锦成教育技术有限公司</w:t>
      </w:r>
    </w:p>
    <w:p>
      <w:pPr>
        <w:pStyle w:val="3"/>
        <w:ind w:firstLine="643"/>
        <w:rPr>
          <w:lang w:val="zh-CN" w:eastAsia="zh-CN"/>
        </w:rPr>
      </w:pPr>
      <w:bookmarkStart w:id="58" w:name="_Toc151887709"/>
      <w:r>
        <w:rPr>
          <w:rFonts w:hint="eastAsia"/>
          <w:lang w:val="zh-CN" w:eastAsia="zh-CN"/>
        </w:rPr>
        <w:t>（二）</w:t>
      </w:r>
      <w:r>
        <w:rPr>
          <w:lang w:val="zh-CN" w:eastAsia="zh-CN"/>
        </w:rPr>
        <w:t>各</w:t>
      </w:r>
      <w:r>
        <w:rPr>
          <w:rFonts w:hint="eastAsia"/>
          <w:lang w:val="zh-CN" w:eastAsia="zh-CN"/>
        </w:rPr>
        <w:t>专业专业对口度</w:t>
      </w:r>
      <w:bookmarkEnd w:id="58"/>
    </w:p>
    <w:p>
      <w:pPr>
        <w:ind w:firstLine="640"/>
        <w:rPr>
          <w:lang w:val="zh-CN" w:eastAsia="zh-CN"/>
        </w:rPr>
      </w:pPr>
      <w:r>
        <w:rPr>
          <w:rFonts w:hint="eastAsia"/>
          <w:lang w:val="zh-CN" w:eastAsia="zh-CN"/>
        </w:rPr>
        <w:t>各专业毕业生</w:t>
      </w:r>
      <w:r>
        <w:rPr>
          <w:lang w:val="zh-CN" w:eastAsia="zh-CN"/>
        </w:rPr>
        <w:t>专业对口度：</w:t>
      </w:r>
      <w:r>
        <w:rPr>
          <w:rFonts w:hint="eastAsia"/>
          <w:lang w:val="zh-CN" w:eastAsia="zh-CN"/>
        </w:rPr>
        <w:t>“制药工程”“护理”“土木工程”等专业的毕业生专业对口度相对较高，均处于77.78%以上；而“物联网工程”“健康服务与管理”“机械设计制造类”专业毕业生专业对口度相对较低，均处于54.55%及以下。</w:t>
      </w:r>
    </w:p>
    <w:p>
      <w:pPr>
        <w:ind w:firstLine="2530" w:firstLineChars="1200"/>
        <w:rPr>
          <w:rFonts w:eastAsia="黑体"/>
          <w:b/>
          <w:sz w:val="21"/>
          <w:lang w:eastAsia="zh-CN"/>
        </w:rPr>
      </w:pPr>
      <w:r>
        <w:rPr>
          <w:rFonts w:hint="eastAsia" w:eastAsia="黑体"/>
          <w:b/>
          <w:sz w:val="21"/>
          <w:lang w:eastAsia="zh-CN"/>
        </w:rPr>
        <w:t xml:space="preserve">表3. </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表1-2-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7</w:t>
      </w:r>
      <w:r>
        <w:rPr>
          <w:rFonts w:eastAsia="黑体"/>
          <w:b/>
          <w:sz w:val="21"/>
          <w:lang w:eastAsia="zh-CN"/>
        </w:rPr>
        <w:fldChar w:fldCharType="end"/>
      </w:r>
      <w:r>
        <w:rPr>
          <w:rFonts w:eastAsia="黑体"/>
          <w:b/>
          <w:sz w:val="21"/>
          <w:lang w:eastAsia="zh-CN"/>
        </w:rPr>
        <w:t xml:space="preserve">  </w:t>
      </w:r>
      <w:r>
        <w:rPr>
          <w:rFonts w:hint="eastAsia" w:eastAsia="黑体"/>
          <w:b/>
          <w:sz w:val="21"/>
          <w:lang w:eastAsia="zh-CN"/>
        </w:rPr>
        <w:t>2022届各专业毕业生专业对口情况分布</w:t>
      </w:r>
    </w:p>
    <w:p>
      <w:pPr>
        <w:pStyle w:val="25"/>
        <w:rPr>
          <w:lang w:val="en-US"/>
        </w:rPr>
      </w:pPr>
    </w:p>
    <w:tbl>
      <w:tblPr>
        <w:tblStyle w:val="30"/>
        <w:tblW w:w="0" w:type="auto"/>
        <w:jc w:val="cente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2114"/>
        <w:gridCol w:w="864"/>
        <w:gridCol w:w="969"/>
        <w:gridCol w:w="969"/>
        <w:gridCol w:w="969"/>
        <w:gridCol w:w="969"/>
        <w:gridCol w:w="1074"/>
        <w:gridCol w:w="689"/>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jc w:val="center"/>
        </w:trPr>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Calibri"/>
                <w:b w:val="0"/>
                <w:bCs w:val="0"/>
                <w:snapToGrid/>
                <w:color w:val="CCE8CF"/>
                <w:sz w:val="21"/>
                <w:lang w:eastAsia="zh-CN"/>
              </w:rPr>
            </w:pPr>
            <w:r>
              <w:rPr>
                <w:rFonts w:hint="eastAsia" w:ascii="宋体" w:hAnsi="宋体" w:eastAsia="宋体"/>
                <w:b/>
                <w:bCs/>
                <w:snapToGrid/>
                <w:color w:val="CCE8CF"/>
                <w:sz w:val="21"/>
                <w:lang w:eastAsia="zh-CN"/>
              </w:rPr>
              <w:t>专业</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Calibri"/>
                <w:b w:val="0"/>
                <w:bCs w:val="0"/>
                <w:snapToGrid/>
                <w:color w:val="CCE8CF"/>
                <w:sz w:val="21"/>
                <w:lang w:eastAsia="zh-CN"/>
              </w:rPr>
            </w:pPr>
            <w:r>
              <w:rPr>
                <w:rFonts w:hint="eastAsia" w:ascii="宋体" w:hAnsi="宋体" w:eastAsia="宋体"/>
                <w:b/>
                <w:bCs/>
                <w:snapToGrid/>
                <w:color w:val="CCE8CF"/>
                <w:sz w:val="21"/>
                <w:lang w:eastAsia="zh-CN"/>
              </w:rPr>
              <w:t>很对口</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Calibri"/>
                <w:b w:val="0"/>
                <w:bCs w:val="0"/>
                <w:snapToGrid/>
                <w:color w:val="CCE8CF"/>
                <w:sz w:val="21"/>
                <w:lang w:eastAsia="zh-CN"/>
              </w:rPr>
            </w:pPr>
            <w:r>
              <w:rPr>
                <w:rFonts w:hint="eastAsia" w:ascii="宋体" w:hAnsi="宋体" w:eastAsia="宋体"/>
                <w:b/>
                <w:bCs/>
                <w:snapToGrid/>
                <w:color w:val="CCE8CF"/>
                <w:sz w:val="21"/>
                <w:lang w:eastAsia="zh-CN"/>
              </w:rPr>
              <w:t>对口</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bCs/>
                <w:snapToGrid/>
                <w:color w:val="CCE8CF"/>
                <w:sz w:val="21"/>
                <w:lang w:eastAsia="zh-CN"/>
              </w:rPr>
            </w:pPr>
            <w:r>
              <w:rPr>
                <w:rFonts w:hint="eastAsia" w:ascii="宋体" w:hAnsi="宋体" w:eastAsia="宋体"/>
                <w:b/>
                <w:bCs/>
                <w:snapToGrid/>
                <w:color w:val="CCE8CF"/>
                <w:sz w:val="21"/>
                <w:lang w:eastAsia="zh-CN"/>
              </w:rPr>
              <w:t>基本</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Calibri"/>
                <w:b w:val="0"/>
                <w:bCs w:val="0"/>
                <w:snapToGrid/>
                <w:color w:val="CCE8CF"/>
                <w:sz w:val="21"/>
                <w:lang w:eastAsia="zh-CN"/>
              </w:rPr>
            </w:pPr>
            <w:r>
              <w:rPr>
                <w:rFonts w:hint="eastAsia" w:ascii="宋体" w:hAnsi="宋体" w:eastAsia="宋体"/>
                <w:b/>
                <w:bCs/>
                <w:snapToGrid/>
                <w:color w:val="CCE8CF"/>
                <w:sz w:val="21"/>
                <w:lang w:eastAsia="zh-CN"/>
              </w:rPr>
              <w:t>对口</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Calibri"/>
                <w:b w:val="0"/>
                <w:bCs w:val="0"/>
                <w:snapToGrid/>
                <w:color w:val="CCE8CF"/>
                <w:sz w:val="21"/>
                <w:lang w:eastAsia="zh-CN"/>
              </w:rPr>
            </w:pPr>
            <w:r>
              <w:rPr>
                <w:rFonts w:hint="eastAsia" w:ascii="宋体" w:hAnsi="宋体" w:eastAsia="宋体"/>
                <w:b/>
                <w:bCs/>
                <w:snapToGrid/>
                <w:color w:val="CCE8CF"/>
                <w:sz w:val="21"/>
                <w:lang w:eastAsia="zh-CN"/>
              </w:rPr>
              <w:t>不对口</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bCs/>
                <w:snapToGrid/>
                <w:color w:val="CCE8CF"/>
                <w:sz w:val="21"/>
                <w:lang w:eastAsia="zh-CN"/>
              </w:rPr>
            </w:pPr>
            <w:r>
              <w:rPr>
                <w:rFonts w:hint="eastAsia" w:ascii="宋体" w:hAnsi="宋体" w:eastAsia="宋体"/>
                <w:b/>
                <w:bCs/>
                <w:snapToGrid/>
                <w:color w:val="CCE8CF"/>
                <w:sz w:val="21"/>
                <w:lang w:eastAsia="zh-CN"/>
              </w:rPr>
              <w:t>很不</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Calibri"/>
                <w:b w:val="0"/>
                <w:bCs w:val="0"/>
                <w:snapToGrid/>
                <w:color w:val="CCE8CF"/>
                <w:sz w:val="21"/>
                <w:lang w:eastAsia="zh-CN"/>
              </w:rPr>
            </w:pPr>
            <w:r>
              <w:rPr>
                <w:rFonts w:hint="eastAsia" w:ascii="宋体" w:hAnsi="宋体" w:eastAsia="宋体"/>
                <w:b/>
                <w:bCs/>
                <w:snapToGrid/>
                <w:color w:val="CCE8CF"/>
                <w:sz w:val="21"/>
                <w:lang w:eastAsia="zh-CN"/>
              </w:rPr>
              <w:t>对口</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Calibri"/>
                <w:b w:val="0"/>
                <w:bCs w:val="0"/>
                <w:snapToGrid/>
                <w:color w:val="CCE8CF"/>
                <w:sz w:val="21"/>
                <w:lang w:eastAsia="zh-CN"/>
              </w:rPr>
            </w:pPr>
            <w:r>
              <w:rPr>
                <w:rFonts w:hint="eastAsia" w:ascii="宋体" w:hAnsi="宋体" w:eastAsia="宋体"/>
                <w:b/>
                <w:bCs/>
                <w:snapToGrid/>
                <w:color w:val="CCE8CF"/>
                <w:sz w:val="21"/>
                <w:lang w:eastAsia="zh-CN"/>
              </w:rPr>
              <w:t>对口度</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Calibri"/>
                <w:b w:val="0"/>
                <w:bCs w:val="0"/>
                <w:snapToGrid/>
                <w:color w:val="CCE8CF"/>
                <w:sz w:val="21"/>
                <w:lang w:eastAsia="zh-CN"/>
              </w:rPr>
            </w:pPr>
            <w:r>
              <w:rPr>
                <w:rFonts w:hint="eastAsia" w:ascii="宋体" w:hAnsi="宋体" w:eastAsia="宋体"/>
                <w:b/>
                <w:bCs/>
                <w:snapToGrid/>
                <w:color w:val="CCE8CF"/>
                <w:sz w:val="21"/>
                <w:lang w:eastAsia="zh-CN"/>
              </w:rPr>
              <w:t>均值</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制药工程</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87.50%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6.25%</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6.25%</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93.75%</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3.81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护理</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22.22%</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44.44%</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22.22%</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11.11%</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88.89%</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3.67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土木工程</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38.89%</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38.89%</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22.22%</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77.78%</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3.17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大数据技术与应用</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12.50%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27.50%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72.50%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机械设计制造类</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9.09%</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45.45%</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17.27%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18.18%</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64.55%</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2.75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健康服务与管理</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12.50%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12.50%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37.50%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17.50%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45.00%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2.63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物联网工程</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22.22%</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24.44%</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33.33%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42.22%</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2.41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化学工程与工艺</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*100.00%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*3.50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水路运输与海事管理</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*1.50</w:t>
            </w:r>
          </w:p>
        </w:tc>
      </w:tr>
    </w:tbl>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840" w:firstLineChars="400"/>
        <w:jc w:val="both"/>
        <w:textAlignment w:val="auto"/>
        <w:rPr>
          <w:rFonts w:ascii="黑体" w:hAnsi="黑体" w:eastAsia="黑体"/>
          <w:snapToGrid/>
          <w:sz w:val="21"/>
          <w:lang w:eastAsia="zh-CN"/>
        </w:rPr>
      </w:pPr>
      <w:r>
        <w:rPr>
          <w:rFonts w:ascii="黑体" w:hAnsi="黑体" w:eastAsia="黑体"/>
          <w:snapToGrid/>
          <w:sz w:val="21"/>
          <w:lang w:eastAsia="zh-CN"/>
        </w:rPr>
        <w:t>注：</w:t>
      </w:r>
      <w:r>
        <w:rPr>
          <w:rFonts w:hint="eastAsia" w:ascii="黑体" w:hAnsi="黑体" w:eastAsia="黑体"/>
          <w:snapToGrid/>
          <w:sz w:val="21"/>
          <w:lang w:eastAsia="zh-CN"/>
        </w:rPr>
        <w:t>*</w:t>
      </w:r>
      <w:r>
        <w:rPr>
          <w:rFonts w:ascii="黑体" w:hAnsi="黑体" w:eastAsia="黑体"/>
          <w:snapToGrid/>
          <w:sz w:val="21"/>
          <w:lang w:eastAsia="zh-CN"/>
        </w:rPr>
        <w:t>专业样本量较小，其分析结果仅供参考，不纳入到报告结论的分析范畴。</w:t>
      </w:r>
    </w:p>
    <w:p>
      <w:pPr>
        <w:rPr>
          <w:snapToGrid/>
          <w:sz w:val="21"/>
          <w:lang w:eastAsia="zh-CN"/>
        </w:rPr>
      </w:pPr>
      <w:r>
        <w:rPr>
          <w:rFonts w:hint="eastAsia" w:ascii="仿宋" w:hAnsi="仿宋"/>
          <w:sz w:val="21"/>
          <w:lang w:eastAsia="zh-CN"/>
        </w:rPr>
        <w:t>数据来源：北京新锦成教育技术有限公司</w:t>
      </w:r>
    </w:p>
    <w:p>
      <w:pPr>
        <w:pStyle w:val="2"/>
        <w:ind w:firstLine="640"/>
        <w:rPr>
          <w:lang w:eastAsia="zh-CN"/>
        </w:rPr>
      </w:pPr>
      <w:bookmarkStart w:id="59" w:name="_Toc151887710"/>
      <w:r>
        <w:rPr>
          <w:rFonts w:hint="eastAsia"/>
          <w:lang w:eastAsia="zh-CN"/>
        </w:rPr>
        <w:t>六、工作满意度</w:t>
      </w:r>
      <w:bookmarkEnd w:id="59"/>
    </w:p>
    <w:p>
      <w:pPr>
        <w:ind w:firstLine="640"/>
        <w:rPr>
          <w:lang w:val="zh-CN" w:eastAsia="zh-CN"/>
        </w:rPr>
      </w:pPr>
      <w:r>
        <w:rPr>
          <w:lang w:val="zh-CN" w:eastAsia="zh-CN"/>
        </w:rPr>
        <w:t>毕业生对目前工作的满意度主要由三个方面组成：一是毕业生对于现实就业状况的评价，包括对目前的薪酬水平、工作内容的满意度；二是对于未来发展的预期评价，即对职业发展前景的满意度；三是对于就业状况的整体评价，即对目前工作的总体满意度。满意度评价</w:t>
      </w:r>
      <w:r>
        <w:rPr>
          <w:rFonts w:hint="eastAsia"/>
          <w:lang w:val="zh-CN" w:eastAsia="zh-CN"/>
        </w:rPr>
        <w:t>维度</w:t>
      </w:r>
      <w:r>
        <w:rPr>
          <w:lang w:val="zh-CN" w:eastAsia="zh-CN"/>
        </w:rPr>
        <w:t>包括“很不满意、不满意、</w:t>
      </w:r>
      <w:r>
        <w:rPr>
          <w:rFonts w:hint="eastAsia"/>
          <w:lang w:val="zh-CN" w:eastAsia="zh-CN"/>
        </w:rPr>
        <w:t>基本满意</w:t>
      </w:r>
      <w:r>
        <w:rPr>
          <w:lang w:val="zh-CN" w:eastAsia="zh-CN"/>
        </w:rPr>
        <w:t>、满意</w:t>
      </w:r>
      <w:r>
        <w:rPr>
          <w:rFonts w:hint="eastAsia"/>
          <w:lang w:val="zh-CN" w:eastAsia="zh-CN"/>
        </w:rPr>
        <w:t>、</w:t>
      </w:r>
      <w:r>
        <w:rPr>
          <w:lang w:val="zh-CN" w:eastAsia="zh-CN"/>
        </w:rPr>
        <w:t>很满意</w:t>
      </w:r>
      <w:r>
        <w:rPr>
          <w:rFonts w:hint="eastAsia"/>
          <w:lang w:val="zh-CN" w:eastAsia="zh-CN"/>
        </w:rPr>
        <w:t>、</w:t>
      </w:r>
      <w:r>
        <w:rPr>
          <w:lang w:val="zh-CN" w:eastAsia="zh-CN"/>
        </w:rPr>
        <w:t>无法评价”，满意度</w:t>
      </w:r>
      <w:r>
        <w:rPr>
          <w:rFonts w:hint="eastAsia"/>
          <w:lang w:val="zh-CN" w:eastAsia="zh-CN"/>
        </w:rPr>
        <w:t>为</w:t>
      </w:r>
      <w:r>
        <w:rPr>
          <w:lang w:val="zh-CN" w:eastAsia="zh-CN"/>
        </w:rPr>
        <w:t>选择“很满意”“满意”“</w:t>
      </w:r>
      <w:r>
        <w:rPr>
          <w:rFonts w:hint="eastAsia"/>
          <w:lang w:val="zh-CN" w:eastAsia="zh-CN"/>
        </w:rPr>
        <w:t>基本满意</w:t>
      </w:r>
      <w:r>
        <w:rPr>
          <w:lang w:val="zh-CN" w:eastAsia="zh-CN"/>
        </w:rPr>
        <w:t>”</w:t>
      </w:r>
      <w:r>
        <w:rPr>
          <w:rFonts w:hint="eastAsia"/>
          <w:lang w:val="zh-CN" w:eastAsia="zh-CN"/>
        </w:rPr>
        <w:t>的</w:t>
      </w:r>
      <w:r>
        <w:rPr>
          <w:lang w:val="zh-CN" w:eastAsia="zh-CN"/>
        </w:rPr>
        <w:t>人数占</w:t>
      </w:r>
      <w:r>
        <w:rPr>
          <w:rFonts w:hint="eastAsia"/>
          <w:lang w:val="zh-CN" w:eastAsia="zh-CN"/>
        </w:rPr>
        <w:t>“</w:t>
      </w:r>
      <w:r>
        <w:rPr>
          <w:lang w:val="zh-CN" w:eastAsia="zh-CN"/>
        </w:rPr>
        <w:t>回答此题总人数</w:t>
      </w:r>
      <w:r>
        <w:rPr>
          <w:rFonts w:hint="eastAsia"/>
          <w:lang w:val="zh-CN" w:eastAsia="zh-CN"/>
        </w:rPr>
        <w:t>-无法评价人数”</w:t>
      </w:r>
      <w:r>
        <w:rPr>
          <w:lang w:val="zh-CN" w:eastAsia="zh-CN"/>
        </w:rPr>
        <w:t>的比例；另外针对毕业生的反馈分别赋予1-5分</w:t>
      </w:r>
      <w:r>
        <w:rPr>
          <w:rFonts w:hint="eastAsia"/>
          <w:lang w:val="zh-CN" w:eastAsia="zh-CN"/>
        </w:rPr>
        <w:t>（“很满意”=</w:t>
      </w:r>
      <w:r>
        <w:rPr>
          <w:lang w:val="zh-CN" w:eastAsia="zh-CN"/>
        </w:rPr>
        <w:t>5</w:t>
      </w:r>
      <w:r>
        <w:rPr>
          <w:rFonts w:hint="eastAsia"/>
          <w:lang w:val="zh-CN" w:eastAsia="zh-CN"/>
        </w:rPr>
        <w:t>分</w:t>
      </w:r>
      <w:r>
        <w:rPr>
          <w:lang w:val="zh-CN" w:eastAsia="zh-CN"/>
        </w:rPr>
        <w:t>，“</w:t>
      </w:r>
      <w:r>
        <w:rPr>
          <w:rFonts w:hint="eastAsia"/>
          <w:lang w:val="zh-CN" w:eastAsia="zh-CN"/>
        </w:rPr>
        <w:t>很不</w:t>
      </w:r>
      <w:r>
        <w:rPr>
          <w:lang w:val="zh-CN" w:eastAsia="zh-CN"/>
        </w:rPr>
        <w:t>满意”=1</w:t>
      </w:r>
      <w:r>
        <w:rPr>
          <w:rFonts w:hint="eastAsia"/>
          <w:lang w:val="zh-CN" w:eastAsia="zh-CN"/>
        </w:rPr>
        <w:t>分）</w:t>
      </w:r>
      <w:r>
        <w:rPr>
          <w:lang w:val="zh-CN" w:eastAsia="zh-CN"/>
        </w:rPr>
        <w:t>，求出每个指标的平均值。</w:t>
      </w:r>
    </w:p>
    <w:p>
      <w:pPr>
        <w:ind w:firstLine="640"/>
        <w:rPr>
          <w:lang w:val="zh-CN" w:eastAsia="zh-CN"/>
        </w:rPr>
      </w:pPr>
      <w:r>
        <w:rPr>
          <w:rFonts w:hint="eastAsia"/>
          <w:lang w:val="zh-CN" w:eastAsia="zh-CN"/>
        </w:rPr>
        <w:t>总体工作</w:t>
      </w:r>
      <w:r>
        <w:rPr>
          <w:lang w:val="zh-CN" w:eastAsia="zh-CN"/>
        </w:rPr>
        <w:t>满意度：</w:t>
      </w:r>
      <w:r>
        <w:rPr>
          <w:rFonts w:hint="eastAsia"/>
          <w:lang w:val="zh-CN" w:eastAsia="zh-CN"/>
        </w:rPr>
        <w:t>毕业生对目前工作总体的满意度为97.00%；其中对“工作内容”的满意度相对较高，而对“工作薪酬”的满意度相对较低。从均值来看，毕业生对工作各方面的满意度均值集中在3.31-3.60分的区间内。</w:t>
      </w:r>
    </w:p>
    <w:p>
      <w:pPr>
        <w:pBdr>
          <w:top w:val="none" w:color="000000" w:sz="0" w:space="0"/>
          <w:left w:val="none" w:color="000000" w:sz="0" w:space="0"/>
          <w:bottom w:val="none" w:color="000000" w:sz="0" w:space="0"/>
          <w:right w:val="none" w:color="000000" w:sz="0" w:space="0"/>
          <w:between w:val="none" w:color="000000" w:sz="0" w:space="0"/>
        </w:pBdr>
        <w:spacing w:before="163" w:after="163" w:line="360" w:lineRule="auto"/>
        <w:ind w:firstLine="480"/>
        <w:jc w:val="both"/>
        <w:rPr>
          <w:rFonts w:eastAsia="宋体"/>
          <w:sz w:val="24"/>
          <w:szCs w:val="24"/>
          <w:lang w:val="zh-CN" w:eastAsia="zh-CN"/>
        </w:rPr>
      </w:pPr>
      <w:r>
        <w:rPr>
          <w:rFonts w:eastAsia="宋体"/>
          <w:sz w:val="24"/>
          <w:szCs w:val="24"/>
          <w:lang w:eastAsia="zh-CN"/>
        </w:rPr>
        <w:drawing>
          <wp:inline distT="0" distB="0" distL="0" distR="0">
            <wp:extent cx="4902200" cy="1574800"/>
            <wp:effectExtent l="4445" t="4445" r="8255" b="8255"/>
            <wp:docPr id="65" name="图表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bCs/>
          <w:sz w:val="21"/>
          <w:lang w:eastAsia="zh-CN"/>
        </w:rPr>
      </w:pPr>
      <w:r>
        <w:rPr>
          <w:rFonts w:hint="eastAsia" w:eastAsia="黑体"/>
          <w:b/>
          <w:sz w:val="21"/>
          <w:lang w:eastAsia="zh-CN"/>
        </w:rPr>
        <w:t>图3.</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13</w:t>
      </w:r>
      <w:r>
        <w:rPr>
          <w:rFonts w:eastAsia="黑体"/>
          <w:b/>
          <w:sz w:val="21"/>
          <w:lang w:eastAsia="zh-CN"/>
        </w:rPr>
        <w:fldChar w:fldCharType="end"/>
      </w:r>
      <w:r>
        <w:rPr>
          <w:rFonts w:eastAsia="黑体"/>
          <w:b/>
          <w:sz w:val="21"/>
          <w:lang w:eastAsia="zh-CN"/>
        </w:rPr>
        <w:t xml:space="preserve"> </w:t>
      </w:r>
      <w:r>
        <w:rPr>
          <w:rFonts w:eastAsia="黑体"/>
          <w:b/>
          <w:bCs/>
          <w:sz w:val="21"/>
          <w:lang w:eastAsia="zh-CN"/>
        </w:rPr>
        <w:t xml:space="preserve"> 2022届</w:t>
      </w:r>
      <w:r>
        <w:rPr>
          <w:rFonts w:hint="eastAsia" w:eastAsia="黑体"/>
          <w:b/>
          <w:bCs/>
          <w:sz w:val="21"/>
          <w:lang w:eastAsia="zh-CN"/>
        </w:rPr>
        <w:t>毕业生</w:t>
      </w:r>
      <w:r>
        <w:rPr>
          <w:rFonts w:eastAsia="黑体"/>
          <w:b/>
          <w:bCs/>
          <w:sz w:val="21"/>
          <w:lang w:eastAsia="zh-CN"/>
        </w:rPr>
        <w:t>对目前工作的满意度情况</w:t>
      </w:r>
    </w:p>
    <w:p>
      <w:pPr>
        <w:rPr>
          <w:snapToGrid/>
          <w:sz w:val="21"/>
          <w:lang w:eastAsia="zh-CN"/>
        </w:rPr>
      </w:pPr>
      <w:r>
        <w:rPr>
          <w:rFonts w:hint="eastAsia" w:ascii="仿宋" w:hAnsi="仿宋"/>
          <w:sz w:val="21"/>
          <w:lang w:eastAsia="zh-CN"/>
        </w:rPr>
        <w:t>数据来源：北京新锦成教育技术有限公司</w:t>
      </w:r>
    </w:p>
    <w:p>
      <w:pPr>
        <w:ind w:firstLine="640"/>
        <w:rPr>
          <w:lang w:val="zh-CN" w:eastAsia="zh-CN"/>
        </w:rPr>
      </w:pPr>
      <w:r>
        <w:rPr>
          <w:rFonts w:hint="eastAsia"/>
          <w:lang w:val="zh-CN" w:eastAsia="zh-CN"/>
        </w:rPr>
        <w:t>本校2022届毕业生工作满意度（97.00%</w:t>
      </w:r>
      <w:r>
        <w:rPr>
          <w:lang w:val="zh-CN" w:eastAsia="zh-CN"/>
        </w:rPr>
        <w:t>）</w:t>
      </w:r>
      <w:r>
        <w:rPr>
          <w:rFonts w:hint="eastAsia"/>
          <w:lang w:val="zh-CN" w:eastAsia="zh-CN"/>
        </w:rPr>
        <w:t>比全国高校2022届毕业生工作满意度（</w:t>
      </w:r>
      <w:r>
        <w:rPr>
          <w:lang w:val="zh-CN" w:eastAsia="zh-CN"/>
        </w:rPr>
        <w:t>91.96%）</w:t>
      </w:r>
      <w:r>
        <w:rPr>
          <w:rFonts w:hint="eastAsia"/>
          <w:lang w:val="zh-CN" w:eastAsia="zh-CN"/>
        </w:rPr>
        <w:t>高</w:t>
      </w:r>
      <w:r>
        <w:rPr>
          <w:lang w:val="zh-CN" w:eastAsia="zh-CN"/>
        </w:rPr>
        <w:t>5.04</w:t>
      </w:r>
      <w:r>
        <w:rPr>
          <w:rFonts w:hint="eastAsia"/>
          <w:lang w:val="zh-CN" w:eastAsia="zh-CN"/>
        </w:rPr>
        <w:t>个百分点</w:t>
      </w:r>
      <w:r>
        <w:rPr>
          <w:lang w:val="zh-CN" w:eastAsia="zh-CN"/>
        </w:rPr>
        <w:t>。</w:t>
      </w:r>
    </w:p>
    <w:p>
      <w:pPr>
        <w:pBdr>
          <w:top w:val="none" w:color="000000" w:sz="0" w:space="0"/>
          <w:left w:val="none" w:color="000000" w:sz="0" w:space="0"/>
          <w:bottom w:val="none" w:color="000000" w:sz="0" w:space="0"/>
          <w:right w:val="none" w:color="000000" w:sz="0" w:space="0"/>
          <w:between w:val="none" w:color="000000" w:sz="0" w:space="0"/>
        </w:pBdr>
        <w:spacing w:before="163" w:after="163" w:line="360" w:lineRule="auto"/>
        <w:ind w:firstLine="480"/>
        <w:jc w:val="center"/>
        <w:rPr>
          <w:rFonts w:eastAsia="宋体"/>
          <w:sz w:val="24"/>
          <w:szCs w:val="24"/>
          <w:lang w:val="zh-CN" w:eastAsia="zh-CN"/>
        </w:rPr>
      </w:pPr>
      <w:r>
        <w:rPr>
          <w:rFonts w:eastAsia="宋体"/>
          <w:sz w:val="24"/>
          <w:lang w:eastAsia="zh-CN"/>
        </w:rPr>
        <w:drawing>
          <wp:inline distT="0" distB="0" distL="0" distR="0">
            <wp:extent cx="5067300" cy="1685925"/>
            <wp:effectExtent l="0" t="0" r="0" b="3175"/>
            <wp:docPr id="66" name="图表 9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bCs/>
          <w:sz w:val="21"/>
          <w:lang w:eastAsia="zh-CN"/>
        </w:rPr>
      </w:pPr>
      <w:r>
        <w:rPr>
          <w:rFonts w:hint="eastAsia" w:eastAsia="黑体"/>
          <w:b/>
          <w:sz w:val="21"/>
          <w:lang w:eastAsia="zh-CN"/>
        </w:rPr>
        <w:t>图3.</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14</w:t>
      </w:r>
      <w:r>
        <w:rPr>
          <w:rFonts w:eastAsia="黑体"/>
          <w:b/>
          <w:sz w:val="21"/>
          <w:lang w:eastAsia="zh-CN"/>
        </w:rPr>
        <w:fldChar w:fldCharType="end"/>
      </w:r>
      <w:r>
        <w:rPr>
          <w:rFonts w:eastAsia="黑体"/>
          <w:b/>
          <w:bCs/>
          <w:sz w:val="21"/>
          <w:lang w:eastAsia="zh-CN"/>
        </w:rPr>
        <w:t xml:space="preserve">  </w:t>
      </w:r>
      <w:r>
        <w:rPr>
          <w:rFonts w:eastAsia="黑体"/>
          <w:b/>
          <w:sz w:val="21"/>
          <w:lang w:eastAsia="zh-CN"/>
        </w:rPr>
        <w:t>2022届</w:t>
      </w:r>
      <w:r>
        <w:rPr>
          <w:rFonts w:hint="eastAsia" w:eastAsia="黑体"/>
          <w:b/>
          <w:bCs/>
          <w:sz w:val="21"/>
          <w:lang w:eastAsia="zh-CN"/>
        </w:rPr>
        <w:t>毕业生就业总体</w:t>
      </w:r>
      <w:r>
        <w:rPr>
          <w:rFonts w:eastAsia="黑体"/>
          <w:b/>
          <w:bCs/>
          <w:sz w:val="21"/>
          <w:lang w:eastAsia="zh-CN"/>
        </w:rPr>
        <w:t>满意度</w:t>
      </w:r>
      <w:r>
        <w:rPr>
          <w:rFonts w:hint="eastAsia" w:eastAsia="黑体"/>
          <w:b/>
          <w:bCs/>
          <w:sz w:val="21"/>
          <w:lang w:eastAsia="zh-CN"/>
        </w:rPr>
        <w:t>对比分析</w:t>
      </w:r>
    </w:p>
    <w:p>
      <w:pPr>
        <w:rPr>
          <w:snapToGrid/>
          <w:sz w:val="21"/>
          <w:lang w:eastAsia="zh-CN"/>
        </w:rPr>
      </w:pPr>
      <w:r>
        <w:rPr>
          <w:rFonts w:hint="eastAsia" w:ascii="仿宋" w:hAnsi="仿宋"/>
          <w:sz w:val="21"/>
          <w:lang w:eastAsia="zh-CN"/>
        </w:rPr>
        <w:t>数据来源：北京新锦成教育技术有限公司</w:t>
      </w:r>
    </w:p>
    <w:p>
      <w:pPr>
        <w:pStyle w:val="3"/>
        <w:ind w:firstLine="643"/>
        <w:rPr>
          <w:lang w:val="zh-CN" w:eastAsia="zh-CN"/>
        </w:rPr>
      </w:pPr>
      <w:bookmarkStart w:id="60" w:name="_Toc151887711"/>
      <w:r>
        <w:rPr>
          <w:rFonts w:hint="eastAsia"/>
          <w:lang w:val="zh-CN" w:eastAsia="zh-CN"/>
        </w:rPr>
        <w:t>（一）</w:t>
      </w:r>
      <w:r>
        <w:rPr>
          <w:lang w:val="zh-CN" w:eastAsia="zh-CN"/>
        </w:rPr>
        <w:t>各</w:t>
      </w:r>
      <w:r>
        <w:rPr>
          <w:rFonts w:hint="eastAsia"/>
          <w:lang w:val="zh-CN" w:eastAsia="zh-CN"/>
        </w:rPr>
        <w:t>学院工作满意度</w:t>
      </w:r>
      <w:bookmarkEnd w:id="60"/>
    </w:p>
    <w:p>
      <w:pPr>
        <w:ind w:firstLine="640"/>
        <w:rPr>
          <w:lang w:val="zh-CN" w:eastAsia="zh-CN"/>
        </w:rPr>
      </w:pPr>
      <w:r>
        <w:rPr>
          <w:rFonts w:hint="eastAsia"/>
          <w:lang w:val="zh-CN" w:eastAsia="zh-CN"/>
        </w:rPr>
        <w:t>各学院工作</w:t>
      </w:r>
      <w:r>
        <w:rPr>
          <w:lang w:val="zh-CN" w:eastAsia="zh-CN"/>
        </w:rPr>
        <w:t>满意度：</w:t>
      </w:r>
      <w:r>
        <w:rPr>
          <w:rFonts w:hint="eastAsia"/>
          <w:lang w:val="zh-CN" w:eastAsia="zh-CN"/>
        </w:rPr>
        <w:t>各学院毕业生对目前就业的满意度均处于92.00%及以上，均值集中在3.36-3.94分的区间内（5分制</w:t>
      </w:r>
      <w:r>
        <w:rPr>
          <w:lang w:val="zh-CN" w:eastAsia="zh-CN"/>
        </w:rPr>
        <w:t>）</w:t>
      </w:r>
      <w:r>
        <w:rPr>
          <w:rFonts w:hint="eastAsia"/>
          <w:lang w:val="zh-CN" w:eastAsia="zh-CN"/>
        </w:rPr>
        <w:t>。</w:t>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61" w:name="_Toc129867355"/>
      <w:r>
        <w:rPr>
          <w:rFonts w:hint="eastAsia" w:eastAsia="黑体"/>
          <w:b/>
          <w:sz w:val="21"/>
          <w:lang w:eastAsia="zh-CN"/>
        </w:rPr>
        <w:t>表3.</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表1-2-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8</w:t>
      </w:r>
      <w:r>
        <w:rPr>
          <w:rFonts w:eastAsia="黑体"/>
          <w:b/>
          <w:sz w:val="21"/>
          <w:lang w:eastAsia="zh-CN"/>
        </w:rPr>
        <w:fldChar w:fldCharType="end"/>
      </w:r>
      <w:r>
        <w:rPr>
          <w:rFonts w:eastAsia="黑体"/>
          <w:b/>
          <w:sz w:val="21"/>
          <w:lang w:eastAsia="zh-CN"/>
        </w:rPr>
        <w:t xml:space="preserve">  </w:t>
      </w:r>
      <w:r>
        <w:rPr>
          <w:rFonts w:hint="eastAsia" w:eastAsia="黑体"/>
          <w:b/>
          <w:sz w:val="21"/>
          <w:lang w:eastAsia="zh-CN"/>
        </w:rPr>
        <w:t>2022届各学院毕业生工作总体满意度评价</w:t>
      </w:r>
      <w:bookmarkEnd w:id="61"/>
    </w:p>
    <w:tbl>
      <w:tblPr>
        <w:tblStyle w:val="35"/>
        <w:tblW w:w="5000" w:type="pct"/>
        <w:tblInd w:w="0" w:type="dxa"/>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5423"/>
        <w:gridCol w:w="2765"/>
        <w:gridCol w:w="1774"/>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trPr>
        <w:tc>
          <w:tcPr>
            <w:tcW w:w="0" w:type="auto"/>
            <w:tcBorders>
              <w:top w:val="single" w:color="0F6FC6" w:sz="4" w:space="0"/>
              <w:left w:val="single" w:color="0F6FC6" w:sz="4" w:space="0"/>
              <w:bottom w:val="single" w:color="0F6FC6" w:sz="4" w:space="0"/>
              <w:right w:val="nil"/>
              <w:insideH w:val="single"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color w:val="CCE8CF"/>
                <w:sz w:val="21"/>
                <w:lang w:eastAsia="zh-CN"/>
              </w:rPr>
            </w:pPr>
            <w:r>
              <w:rPr>
                <w:rFonts w:hint="eastAsia" w:eastAsia="宋体"/>
                <w:b/>
                <w:bCs/>
                <w:snapToGrid/>
                <w:color w:val="CCE8CF"/>
                <w:sz w:val="21"/>
                <w:lang w:eastAsia="zh-CN"/>
              </w:rPr>
              <w:t>学院</w:t>
            </w:r>
          </w:p>
        </w:tc>
        <w:tc>
          <w:tcPr>
            <w:tcW w:w="0" w:type="auto"/>
            <w:tcBorders>
              <w:top w:val="single" w:color="0F6FC6" w:sz="4" w:space="0"/>
              <w:bottom w:val="single" w:color="0F6FC6" w:sz="4" w:space="0"/>
              <w:right w:val="nil"/>
              <w:insideH w:val="single"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color w:val="CCE8CF"/>
                <w:sz w:val="21"/>
                <w:lang w:eastAsia="zh-CN"/>
              </w:rPr>
            </w:pPr>
            <w:r>
              <w:rPr>
                <w:rFonts w:hint="eastAsia" w:eastAsia="宋体"/>
                <w:b/>
                <w:bCs/>
                <w:snapToGrid/>
                <w:color w:val="CCE8CF"/>
                <w:sz w:val="21"/>
                <w:lang w:eastAsia="zh-CN"/>
              </w:rPr>
              <w:t>满意度</w:t>
            </w:r>
          </w:p>
        </w:tc>
        <w:tc>
          <w:tcPr>
            <w:tcW w:w="0" w:type="auto"/>
            <w:tcBorders>
              <w:top w:val="single" w:color="0F6FC6" w:sz="4" w:space="0"/>
              <w:bottom w:val="single" w:color="0F6FC6" w:sz="4" w:space="0"/>
              <w:right w:val="single" w:color="0F6FC6" w:sz="4" w:space="0"/>
              <w:insideH w:val="single"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color w:val="CCE8CF"/>
                <w:sz w:val="21"/>
                <w:lang w:eastAsia="zh-CN"/>
              </w:rPr>
            </w:pPr>
            <w:r>
              <w:rPr>
                <w:rFonts w:hint="eastAsia" w:eastAsia="宋体"/>
                <w:b/>
                <w:bCs/>
                <w:snapToGrid/>
                <w:color w:val="CCE8CF"/>
                <w:sz w:val="21"/>
                <w:lang w:eastAsia="zh-CN"/>
              </w:rPr>
              <w:t>均值</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信息工程学院</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eastAsia="宋体"/>
                <w:snapToGrid/>
                <w:sz w:val="21"/>
                <w:lang w:eastAsia="zh-CN"/>
              </w:rPr>
              <w:t>100.00%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eastAsia="宋体"/>
                <w:snapToGrid/>
                <w:sz w:val="21"/>
                <w:lang w:eastAsia="zh-CN"/>
              </w:rPr>
              <w:t>3.71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健康科学学院</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eastAsia="宋体"/>
                <w:snapToGrid/>
                <w:sz w:val="21"/>
                <w:lang w:eastAsia="zh-CN"/>
              </w:rPr>
              <w:t>100.00%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eastAsia="宋体"/>
                <w:snapToGrid/>
                <w:sz w:val="21"/>
                <w:lang w:eastAsia="zh-CN"/>
              </w:rPr>
              <w:t>3.67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化学与材料工程学院</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eastAsia="宋体"/>
                <w:snapToGrid/>
                <w:sz w:val="21"/>
                <w:lang w:eastAsia="zh-CN"/>
              </w:rPr>
              <w:t>100.00%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eastAsia="宋体"/>
                <w:snapToGrid/>
                <w:sz w:val="21"/>
                <w:lang w:eastAsia="zh-CN"/>
              </w:rPr>
              <w:t>3.94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国际护理学院</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eastAsia="宋体"/>
                <w:snapToGrid/>
                <w:sz w:val="21"/>
                <w:lang w:eastAsia="zh-CN"/>
              </w:rPr>
              <w:t>100.00%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eastAsia="宋体"/>
                <w:snapToGrid/>
                <w:sz w:val="21"/>
                <w:lang w:eastAsia="zh-CN"/>
              </w:rPr>
              <w:t>3.89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城建学院</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eastAsia="宋体"/>
                <w:snapToGrid/>
                <w:sz w:val="21"/>
                <w:lang w:eastAsia="zh-CN"/>
              </w:rPr>
              <w:t>95.24%</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eastAsia="宋体"/>
                <w:snapToGrid/>
                <w:sz w:val="21"/>
                <w:lang w:eastAsia="zh-CN"/>
              </w:rPr>
              <w:t>3.38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机电工程学院</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eastAsia="宋体"/>
                <w:snapToGrid/>
                <w:sz w:val="21"/>
                <w:lang w:eastAsia="zh-CN"/>
              </w:rPr>
              <w:t>92.00%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eastAsia="宋体"/>
                <w:snapToGrid/>
                <w:sz w:val="21"/>
                <w:lang w:eastAsia="zh-CN"/>
              </w:rPr>
              <w:t>3.36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海事学院</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eastAsia="宋体"/>
                <w:snapToGrid/>
                <w:sz w:val="21"/>
                <w:lang w:eastAsia="zh-CN"/>
              </w:rPr>
              <w:t>*100.00%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eastAsia="宋体"/>
                <w:snapToGrid/>
                <w:sz w:val="21"/>
                <w:lang w:eastAsia="zh-CN"/>
              </w:rPr>
              <w:t>*3.00</w:t>
            </w:r>
          </w:p>
        </w:tc>
      </w:tr>
    </w:tbl>
    <w:p>
      <w:pPr>
        <w:pBdr>
          <w:top w:val="none" w:color="000000" w:sz="0" w:space="0"/>
          <w:left w:val="none" w:color="000000" w:sz="0" w:space="0"/>
          <w:bottom w:val="none" w:color="000000" w:sz="0" w:space="0"/>
          <w:right w:val="none" w:color="000000" w:sz="0" w:space="0"/>
          <w:between w:val="none" w:color="000000" w:sz="0" w:space="0"/>
        </w:pBdr>
        <w:spacing w:line="240" w:lineRule="auto"/>
        <w:jc w:val="both"/>
        <w:rPr>
          <w:rFonts w:ascii="黑体" w:hAnsi="黑体" w:eastAsia="黑体" w:cs="宋体"/>
          <w:sz w:val="21"/>
          <w:lang w:eastAsia="zh-CN"/>
        </w:rPr>
      </w:pPr>
      <w:r>
        <w:rPr>
          <w:rFonts w:hint="eastAsia" w:ascii="黑体" w:hAnsi="黑体" w:eastAsia="黑体" w:cs="宋体"/>
          <w:sz w:val="21"/>
          <w:lang w:eastAsia="zh-CN"/>
        </w:rPr>
        <w:t>注</w:t>
      </w:r>
      <w:r>
        <w:rPr>
          <w:rFonts w:ascii="黑体" w:hAnsi="黑体" w:eastAsia="黑体" w:cs="宋体"/>
          <w:sz w:val="21"/>
          <w:lang w:eastAsia="zh-CN"/>
        </w:rPr>
        <w:t>：</w:t>
      </w:r>
      <w:r>
        <w:rPr>
          <w:rFonts w:hint="eastAsia" w:ascii="黑体" w:hAnsi="黑体" w:eastAsia="黑体" w:cs="宋体"/>
          <w:sz w:val="21"/>
          <w:lang w:eastAsia="zh-CN"/>
        </w:rPr>
        <w:t>*学院样本量较小，其分析结果仅供参考，不纳入到报告结论的分析范畴。</w:t>
      </w:r>
    </w:p>
    <w:p>
      <w:pPr>
        <w:rPr>
          <w:snapToGrid/>
          <w:sz w:val="21"/>
          <w:lang w:eastAsia="zh-CN"/>
        </w:rPr>
      </w:pPr>
      <w:r>
        <w:rPr>
          <w:rFonts w:hint="eastAsia" w:ascii="仿宋" w:hAnsi="仿宋"/>
          <w:sz w:val="21"/>
          <w:lang w:eastAsia="zh-CN"/>
        </w:rPr>
        <w:t>数据来源：北京新锦成教育技术有限公司</w:t>
      </w:r>
    </w:p>
    <w:p>
      <w:pPr>
        <w:ind w:firstLine="640"/>
        <w:rPr>
          <w:lang w:val="zh-CN" w:eastAsia="zh-CN"/>
        </w:rPr>
      </w:pPr>
      <w:r>
        <w:rPr>
          <w:rFonts w:hint="eastAsia"/>
          <w:lang w:val="zh-CN" w:eastAsia="zh-CN"/>
        </w:rPr>
        <w:t>具体来看，工作内容满意度均值相对最高的学院是“化学与材料工程学院”</w:t>
      </w:r>
      <w:r>
        <w:rPr>
          <w:lang w:val="zh-CN" w:eastAsia="zh-CN"/>
        </w:rPr>
        <w:t>，</w:t>
      </w:r>
      <w:r>
        <w:rPr>
          <w:rFonts w:hint="eastAsia"/>
          <w:lang w:val="zh-CN" w:eastAsia="zh-CN"/>
        </w:rPr>
        <w:t>职业发展前景满意度</w:t>
      </w:r>
      <w:r>
        <w:rPr>
          <w:lang w:val="zh-CN" w:eastAsia="zh-CN"/>
        </w:rPr>
        <w:t>均值相对较高的是</w:t>
      </w:r>
      <w:r>
        <w:rPr>
          <w:rFonts w:hint="eastAsia"/>
          <w:lang w:val="zh-CN" w:eastAsia="zh-CN"/>
        </w:rPr>
        <w:t>“化学与材料工程学院”，工作薪酬满意度</w:t>
      </w:r>
      <w:r>
        <w:rPr>
          <w:lang w:val="zh-CN" w:eastAsia="zh-CN"/>
        </w:rPr>
        <w:t>最高的是</w:t>
      </w:r>
      <w:r>
        <w:rPr>
          <w:rFonts w:hint="eastAsia"/>
          <w:lang w:val="zh-CN" w:eastAsia="zh-CN"/>
        </w:rPr>
        <w:t>“国际护理学院”。具体分布</w:t>
      </w:r>
      <w:r>
        <w:rPr>
          <w:lang w:val="zh-CN" w:eastAsia="zh-CN"/>
        </w:rPr>
        <w:t>详见下表</w:t>
      </w:r>
      <w:r>
        <w:rPr>
          <w:rFonts w:hint="eastAsia"/>
          <w:lang w:val="zh-CN" w:eastAsia="zh-CN"/>
        </w:rPr>
        <w:t>。</w:t>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62" w:name="_Toc509389339"/>
      <w:bookmarkStart w:id="63" w:name="_Toc509483459"/>
      <w:bookmarkStart w:id="64" w:name="_Toc129867357"/>
      <w:r>
        <w:rPr>
          <w:rFonts w:hint="eastAsia" w:eastAsia="黑体"/>
          <w:b/>
          <w:sz w:val="21"/>
          <w:lang w:eastAsia="zh-CN"/>
        </w:rPr>
        <w:t>表3.</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表1-2-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9</w:t>
      </w:r>
      <w:r>
        <w:rPr>
          <w:rFonts w:eastAsia="黑体"/>
          <w:b/>
          <w:sz w:val="21"/>
          <w:lang w:eastAsia="zh-CN"/>
        </w:rPr>
        <w:fldChar w:fldCharType="end"/>
      </w:r>
      <w:r>
        <w:rPr>
          <w:rFonts w:eastAsia="黑体"/>
          <w:b/>
          <w:sz w:val="21"/>
          <w:lang w:eastAsia="zh-CN"/>
        </w:rPr>
        <w:t xml:space="preserve">  </w:t>
      </w:r>
      <w:r>
        <w:rPr>
          <w:rFonts w:hint="eastAsia" w:eastAsia="黑体"/>
          <w:b/>
          <w:sz w:val="21"/>
          <w:lang w:eastAsia="zh-CN"/>
        </w:rPr>
        <w:t>2022届各学院毕业生对工作各方面满意度评价</w:t>
      </w:r>
      <w:bookmarkEnd w:id="62"/>
      <w:bookmarkEnd w:id="63"/>
      <w:r>
        <w:rPr>
          <w:rFonts w:hint="eastAsia" w:eastAsia="黑体"/>
          <w:b/>
          <w:sz w:val="21"/>
          <w:lang w:eastAsia="zh-CN"/>
        </w:rPr>
        <w:t>（5分制）</w:t>
      </w:r>
      <w:bookmarkEnd w:id="64"/>
    </w:p>
    <w:tbl>
      <w:tblPr>
        <w:tblStyle w:val="35"/>
        <w:tblW w:w="5000" w:type="pct"/>
        <w:tblInd w:w="0" w:type="dxa"/>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3968"/>
        <w:gridCol w:w="1998"/>
        <w:gridCol w:w="1998"/>
        <w:gridCol w:w="1998"/>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trPr>
        <w:tc>
          <w:tcPr>
            <w:tcW w:w="0" w:type="auto"/>
            <w:tcBorders>
              <w:top w:val="single" w:color="0F6FC6" w:sz="4" w:space="0"/>
              <w:left w:val="single" w:color="0F6FC6" w:sz="4" w:space="0"/>
              <w:bottom w:val="single" w:color="0F6FC6" w:sz="4" w:space="0"/>
              <w:right w:val="nil"/>
              <w:insideH w:val="single"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color w:val="CCE8CF"/>
                <w:sz w:val="21"/>
                <w:lang w:eastAsia="zh-CN"/>
              </w:rPr>
            </w:pPr>
            <w:r>
              <w:rPr>
                <w:rFonts w:hint="eastAsia" w:eastAsia="宋体"/>
                <w:b/>
                <w:bCs/>
                <w:snapToGrid/>
                <w:color w:val="CCE8CF"/>
                <w:sz w:val="21"/>
                <w:lang w:eastAsia="zh-CN"/>
              </w:rPr>
              <w:t>学院</w:t>
            </w:r>
          </w:p>
        </w:tc>
        <w:tc>
          <w:tcPr>
            <w:tcW w:w="0" w:type="auto"/>
            <w:tcBorders>
              <w:top w:val="single" w:color="0F6FC6" w:sz="4" w:space="0"/>
              <w:bottom w:val="single" w:color="0F6FC6" w:sz="4" w:space="0"/>
              <w:right w:val="nil"/>
              <w:insideH w:val="single"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color w:val="CCE8CF"/>
                <w:sz w:val="21"/>
                <w:lang w:eastAsia="zh-CN"/>
              </w:rPr>
            </w:pPr>
            <w:r>
              <w:rPr>
                <w:rFonts w:hint="eastAsia" w:eastAsia="宋体"/>
                <w:b/>
                <w:bCs/>
                <w:snapToGrid/>
                <w:color w:val="CCE8CF"/>
                <w:sz w:val="21"/>
                <w:lang w:eastAsia="zh-CN"/>
              </w:rPr>
              <w:t>工作内容</w:t>
            </w:r>
          </w:p>
        </w:tc>
        <w:tc>
          <w:tcPr>
            <w:tcW w:w="0" w:type="auto"/>
            <w:tcBorders>
              <w:top w:val="single" w:color="0F6FC6" w:sz="4" w:space="0"/>
              <w:bottom w:val="single" w:color="0F6FC6" w:sz="4" w:space="0"/>
              <w:right w:val="nil"/>
              <w:insideH w:val="single"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color w:val="CCE8CF"/>
                <w:sz w:val="21"/>
                <w:lang w:eastAsia="zh-CN"/>
              </w:rPr>
            </w:pPr>
            <w:r>
              <w:rPr>
                <w:rFonts w:hint="eastAsia" w:eastAsia="宋体"/>
                <w:b/>
                <w:bCs/>
                <w:snapToGrid/>
                <w:color w:val="CCE8CF"/>
                <w:sz w:val="21"/>
                <w:lang w:eastAsia="zh-CN"/>
              </w:rPr>
              <w:t>职业前景</w:t>
            </w:r>
          </w:p>
        </w:tc>
        <w:tc>
          <w:tcPr>
            <w:tcW w:w="0" w:type="auto"/>
            <w:tcBorders>
              <w:top w:val="single" w:color="0F6FC6" w:sz="4" w:space="0"/>
              <w:bottom w:val="single" w:color="0F6FC6" w:sz="4" w:space="0"/>
              <w:right w:val="single" w:color="0F6FC6" w:sz="4" w:space="0"/>
              <w:insideH w:val="single"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color w:val="CCE8CF"/>
                <w:sz w:val="21"/>
                <w:lang w:eastAsia="zh-CN"/>
              </w:rPr>
            </w:pPr>
            <w:r>
              <w:rPr>
                <w:rFonts w:hint="eastAsia" w:eastAsia="宋体"/>
                <w:b/>
                <w:bCs/>
                <w:snapToGrid/>
                <w:color w:val="CCE8CF"/>
                <w:sz w:val="21"/>
                <w:lang w:eastAsia="zh-CN"/>
              </w:rPr>
              <w:t>工作薪酬</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化学与材料工程学院</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3.72</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3.94</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3.67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信息工程学院</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3.71</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3.47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3.06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健康科学学院</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3.67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3.89</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3.44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国际护理学院</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3.56</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3.78</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3.67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城建学院</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3.38</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3.14</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3.14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机电工程学院</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3.36</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3.36</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3.20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海事学院</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*3.00</w:t>
            </w:r>
          </w:p>
        </w:tc>
      </w:tr>
    </w:tbl>
    <w:p>
      <w:pPr>
        <w:pBdr>
          <w:top w:val="none" w:color="000000" w:sz="0" w:space="0"/>
          <w:left w:val="none" w:color="000000" w:sz="0" w:space="0"/>
          <w:bottom w:val="none" w:color="000000" w:sz="0" w:space="0"/>
          <w:right w:val="none" w:color="000000" w:sz="0" w:space="0"/>
          <w:between w:val="none" w:color="000000" w:sz="0" w:space="0"/>
        </w:pBdr>
        <w:spacing w:line="240" w:lineRule="auto"/>
        <w:jc w:val="both"/>
        <w:rPr>
          <w:rFonts w:ascii="黑体" w:hAnsi="黑体" w:eastAsia="黑体" w:cs="宋体"/>
          <w:sz w:val="21"/>
          <w:lang w:eastAsia="zh-CN"/>
        </w:rPr>
      </w:pPr>
      <w:r>
        <w:rPr>
          <w:rFonts w:hint="eastAsia" w:ascii="黑体" w:hAnsi="黑体" w:eastAsia="黑体" w:cs="宋体"/>
          <w:sz w:val="21"/>
          <w:lang w:eastAsia="zh-CN"/>
        </w:rPr>
        <w:t>注</w:t>
      </w:r>
      <w:r>
        <w:rPr>
          <w:rFonts w:ascii="黑体" w:hAnsi="黑体" w:eastAsia="黑体" w:cs="宋体"/>
          <w:sz w:val="21"/>
          <w:lang w:eastAsia="zh-CN"/>
        </w:rPr>
        <w:t>：</w:t>
      </w:r>
      <w:r>
        <w:rPr>
          <w:rFonts w:hint="eastAsia" w:ascii="黑体" w:hAnsi="黑体" w:eastAsia="黑体" w:cs="宋体"/>
          <w:sz w:val="21"/>
          <w:lang w:eastAsia="zh-CN"/>
        </w:rPr>
        <w:t>*学院样本量较小，其分析结果仅供参考，不纳入到报告结论的分析范畴。</w:t>
      </w:r>
    </w:p>
    <w:p>
      <w:pPr>
        <w:rPr>
          <w:snapToGrid/>
          <w:sz w:val="21"/>
          <w:lang w:eastAsia="zh-CN"/>
        </w:rPr>
      </w:pPr>
      <w:r>
        <w:rPr>
          <w:rFonts w:hint="eastAsia" w:ascii="仿宋" w:hAnsi="仿宋"/>
          <w:sz w:val="21"/>
          <w:lang w:eastAsia="zh-CN"/>
        </w:rPr>
        <w:t>数据来源：北京新锦成教育技术有限公司</w:t>
      </w:r>
    </w:p>
    <w:p>
      <w:pPr>
        <w:pStyle w:val="3"/>
        <w:ind w:firstLine="643"/>
        <w:rPr>
          <w:lang w:val="zh-CN" w:eastAsia="zh-CN"/>
        </w:rPr>
      </w:pPr>
      <w:bookmarkStart w:id="65" w:name="_Toc151887712"/>
      <w:r>
        <w:rPr>
          <w:rFonts w:hint="eastAsia"/>
          <w:lang w:val="zh-CN" w:eastAsia="zh-CN"/>
        </w:rPr>
        <w:t>（二）</w:t>
      </w:r>
      <w:r>
        <w:rPr>
          <w:lang w:val="zh-CN" w:eastAsia="zh-CN"/>
        </w:rPr>
        <w:t>各</w:t>
      </w:r>
      <w:r>
        <w:rPr>
          <w:rFonts w:hint="eastAsia"/>
          <w:lang w:val="zh-CN" w:eastAsia="zh-CN"/>
        </w:rPr>
        <w:t>专业工作满意度</w:t>
      </w:r>
      <w:bookmarkEnd w:id="65"/>
    </w:p>
    <w:p>
      <w:pPr>
        <w:ind w:firstLine="640"/>
        <w:rPr>
          <w:lang w:val="zh-CN" w:eastAsia="zh-CN"/>
        </w:rPr>
      </w:pPr>
      <w:r>
        <w:rPr>
          <w:rFonts w:hint="eastAsia"/>
          <w:lang w:val="zh-CN" w:eastAsia="zh-CN"/>
        </w:rPr>
        <w:t>各专业工作满意度：2022届毕业生对目前就业的满意度相对较高的为“大数据技术与应用”“制药工程”“护理”等专业，满意度均达到1</w:t>
      </w:r>
      <w:r>
        <w:rPr>
          <w:lang w:val="zh-CN" w:eastAsia="zh-CN"/>
        </w:rPr>
        <w:t>00.00%</w:t>
      </w:r>
      <w:r>
        <w:rPr>
          <w:rFonts w:hint="eastAsia"/>
          <w:lang w:val="zh-CN" w:eastAsia="zh-CN"/>
        </w:rPr>
        <w:t>。</w:t>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66" w:name="_Toc129867359"/>
      <w:r>
        <w:rPr>
          <w:rFonts w:hint="eastAsia" w:eastAsia="黑体"/>
          <w:b/>
          <w:sz w:val="21"/>
          <w:lang w:eastAsia="zh-CN"/>
        </w:rPr>
        <w:t>表3.</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表1-2-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10</w:t>
      </w:r>
      <w:r>
        <w:rPr>
          <w:rFonts w:eastAsia="黑体"/>
          <w:b/>
          <w:sz w:val="21"/>
          <w:lang w:eastAsia="zh-CN"/>
        </w:rPr>
        <w:fldChar w:fldCharType="end"/>
      </w:r>
      <w:r>
        <w:rPr>
          <w:rFonts w:eastAsia="黑体"/>
          <w:b/>
          <w:sz w:val="21"/>
          <w:lang w:eastAsia="zh-CN"/>
        </w:rPr>
        <w:t xml:space="preserve">  2022届</w:t>
      </w:r>
      <w:r>
        <w:rPr>
          <w:rFonts w:hint="eastAsia" w:eastAsia="黑体"/>
          <w:b/>
          <w:sz w:val="21"/>
          <w:lang w:eastAsia="zh-CN"/>
        </w:rPr>
        <w:t>各专业毕业生工作总体满意度评价</w:t>
      </w:r>
      <w:bookmarkEnd w:id="66"/>
    </w:p>
    <w:tbl>
      <w:tblPr>
        <w:tblStyle w:val="36"/>
        <w:tblW w:w="5000" w:type="pct"/>
        <w:tblInd w:w="0" w:type="dxa"/>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5423"/>
        <w:gridCol w:w="2765"/>
        <w:gridCol w:w="1774"/>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trPr>
        <w:tc>
          <w:tcPr>
            <w:tcW w:w="0" w:type="auto"/>
            <w:tcBorders>
              <w:top w:val="single" w:color="0F6FC6" w:sz="4" w:space="0"/>
              <w:left w:val="single" w:color="0F6FC6" w:sz="4" w:space="0"/>
              <w:bottom w:val="single" w:color="0F6FC6" w:sz="4" w:space="0"/>
              <w:right w:val="nil"/>
              <w:insideH w:val="single"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color w:val="FFFFFF"/>
                <w:sz w:val="21"/>
                <w:lang w:eastAsia="zh-CN"/>
              </w:rPr>
            </w:pPr>
            <w:r>
              <w:rPr>
                <w:rFonts w:eastAsia="宋体"/>
                <w:b/>
                <w:bCs/>
                <w:snapToGrid/>
                <w:color w:val="CCE8CF"/>
                <w:sz w:val="21"/>
                <w:lang w:eastAsia="zh-CN"/>
              </w:rPr>
              <w:t>专业</w:t>
            </w:r>
          </w:p>
        </w:tc>
        <w:tc>
          <w:tcPr>
            <w:tcW w:w="0" w:type="auto"/>
            <w:tcBorders>
              <w:top w:val="single" w:color="0F6FC6" w:sz="4" w:space="0"/>
              <w:bottom w:val="single" w:color="0F6FC6" w:sz="4" w:space="0"/>
              <w:right w:val="nil"/>
              <w:insideH w:val="single"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color w:val="FFFFFF"/>
                <w:sz w:val="21"/>
                <w:lang w:eastAsia="zh-CN"/>
              </w:rPr>
            </w:pPr>
            <w:r>
              <w:rPr>
                <w:rFonts w:eastAsia="宋体"/>
                <w:b/>
                <w:bCs/>
                <w:snapToGrid/>
                <w:color w:val="CCE8CF"/>
                <w:sz w:val="21"/>
                <w:lang w:eastAsia="zh-CN"/>
              </w:rPr>
              <w:t>满意度</w:t>
            </w:r>
          </w:p>
        </w:tc>
        <w:tc>
          <w:tcPr>
            <w:tcW w:w="0" w:type="auto"/>
            <w:tcBorders>
              <w:top w:val="single" w:color="0F6FC6" w:sz="4" w:space="0"/>
              <w:bottom w:val="single" w:color="0F6FC6" w:sz="4" w:space="0"/>
              <w:right w:val="single" w:color="0F6FC6" w:sz="4" w:space="0"/>
              <w:insideH w:val="single"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color w:val="FFFFFF"/>
                <w:sz w:val="21"/>
                <w:lang w:eastAsia="zh-CN"/>
              </w:rPr>
            </w:pPr>
            <w:r>
              <w:rPr>
                <w:rFonts w:eastAsia="宋体"/>
                <w:b/>
                <w:bCs/>
                <w:snapToGrid/>
                <w:color w:val="CCE8CF"/>
                <w:sz w:val="21"/>
                <w:lang w:eastAsia="zh-CN"/>
              </w:rPr>
              <w:t>均值</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大数据技术与应用</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100.00%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4.13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制药工程</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100.00%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3.94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护理</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100.00%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3.89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健康服务与管理</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100.00%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3.67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物联网工程</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100.00%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3.33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土木工程</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95.24%</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3.38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机械设计制造类</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92.00%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3.36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化学工程与工艺</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*100.00%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*4.00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水路运输与海事管理</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*100.00%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*3.00</w:t>
            </w:r>
          </w:p>
        </w:tc>
      </w:tr>
    </w:tbl>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after="120" w:afterLines="50" w:line="240" w:lineRule="auto"/>
        <w:ind w:firstLineChars="0"/>
        <w:jc w:val="both"/>
        <w:textAlignment w:val="auto"/>
        <w:rPr>
          <w:rFonts w:ascii="黑体" w:hAnsi="黑体" w:eastAsia="黑体"/>
          <w:snapToGrid/>
          <w:sz w:val="21"/>
          <w:lang w:eastAsia="zh-CN"/>
        </w:rPr>
      </w:pPr>
      <w:r>
        <w:rPr>
          <w:rFonts w:ascii="黑体" w:hAnsi="黑体" w:eastAsia="黑体"/>
          <w:snapToGrid/>
          <w:sz w:val="21"/>
          <w:lang w:eastAsia="zh-CN"/>
        </w:rPr>
        <w:t>注：</w:t>
      </w:r>
      <w:r>
        <w:rPr>
          <w:rFonts w:hint="eastAsia" w:ascii="黑体" w:hAnsi="黑体" w:eastAsia="黑体"/>
          <w:snapToGrid/>
          <w:sz w:val="21"/>
          <w:lang w:eastAsia="zh-CN"/>
        </w:rPr>
        <w:t>*</w:t>
      </w:r>
      <w:r>
        <w:rPr>
          <w:rFonts w:ascii="黑体" w:hAnsi="黑体" w:eastAsia="黑体"/>
          <w:snapToGrid/>
          <w:sz w:val="21"/>
          <w:lang w:eastAsia="zh-CN"/>
        </w:rPr>
        <w:t>专业样本量较小，其分析结果仅供参考，不纳入到报告结论的分析范围。</w:t>
      </w:r>
    </w:p>
    <w:p>
      <w:pPr>
        <w:rPr>
          <w:snapToGrid/>
          <w:sz w:val="21"/>
          <w:lang w:eastAsia="zh-CN"/>
        </w:rPr>
      </w:pPr>
      <w:r>
        <w:rPr>
          <w:rFonts w:hint="eastAsia" w:ascii="仿宋" w:hAnsi="仿宋"/>
          <w:sz w:val="21"/>
          <w:lang w:eastAsia="zh-CN"/>
        </w:rPr>
        <w:t>数据来源：北京新锦成教育技术有限公司</w:t>
      </w:r>
    </w:p>
    <w:p>
      <w:pPr>
        <w:ind w:firstLine="640"/>
        <w:rPr>
          <w:lang w:val="zh-CN" w:eastAsia="zh-CN"/>
        </w:rPr>
      </w:pPr>
      <w:r>
        <w:rPr>
          <w:rFonts w:hint="eastAsia"/>
          <w:lang w:val="zh-CN" w:eastAsia="zh-CN"/>
        </w:rPr>
        <w:t>各专业毕业生</w:t>
      </w:r>
      <w:r>
        <w:rPr>
          <w:lang w:val="zh-CN" w:eastAsia="zh-CN"/>
        </w:rPr>
        <w:t>对目前</w:t>
      </w:r>
      <w:r>
        <w:rPr>
          <w:rFonts w:hint="eastAsia"/>
          <w:lang w:val="zh-CN" w:eastAsia="zh-CN"/>
        </w:rPr>
        <w:t>工作</w:t>
      </w:r>
      <w:r>
        <w:rPr>
          <w:lang w:val="zh-CN" w:eastAsia="zh-CN"/>
        </w:rPr>
        <w:t>各方面的满意度</w:t>
      </w:r>
      <w:r>
        <w:rPr>
          <w:rFonts w:hint="eastAsia"/>
          <w:lang w:val="zh-CN" w:eastAsia="zh-CN"/>
        </w:rPr>
        <w:t>评价</w:t>
      </w:r>
      <w:r>
        <w:rPr>
          <w:lang w:val="zh-CN" w:eastAsia="zh-CN"/>
        </w:rPr>
        <w:t>如下表</w:t>
      </w:r>
      <w:r>
        <w:rPr>
          <w:rFonts w:hint="eastAsia"/>
          <w:lang w:val="zh-CN" w:eastAsia="zh-CN"/>
        </w:rPr>
        <w:t>所示</w:t>
      </w:r>
      <w:r>
        <w:rPr>
          <w:lang w:val="zh-CN" w:eastAsia="zh-CN"/>
        </w:rPr>
        <w:t>。</w:t>
      </w:r>
      <w:r>
        <w:rPr>
          <w:rFonts w:hint="eastAsia"/>
          <w:lang w:val="zh-CN" w:eastAsia="zh-CN"/>
        </w:rPr>
        <w:t>工作内容满意度均值相对最高的专业是“大数据技术与应用”，职业发展前景满意度均值相对最高的专业是“健康服务与管理”</w:t>
      </w:r>
      <w:r>
        <w:rPr>
          <w:lang w:val="zh-CN" w:eastAsia="zh-CN"/>
        </w:rPr>
        <w:t>，</w:t>
      </w:r>
      <w:r>
        <w:rPr>
          <w:rFonts w:hint="eastAsia"/>
          <w:lang w:val="zh-CN" w:eastAsia="zh-CN"/>
        </w:rPr>
        <w:t>工作薪酬满意度均值相对最高的专业是“护理”</w:t>
      </w:r>
      <w:r>
        <w:rPr>
          <w:lang w:val="zh-CN" w:eastAsia="zh-CN"/>
        </w:rPr>
        <w:t>。</w:t>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67" w:name="_Toc509389340"/>
      <w:bookmarkStart w:id="68" w:name="_Toc509483460"/>
      <w:bookmarkStart w:id="69" w:name="_Toc129867361"/>
      <w:r>
        <w:rPr>
          <w:rFonts w:hint="eastAsia" w:eastAsia="黑体"/>
          <w:b/>
          <w:sz w:val="21"/>
          <w:lang w:eastAsia="zh-CN"/>
        </w:rPr>
        <w:t>表3.</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表1-2-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11</w:t>
      </w:r>
      <w:r>
        <w:rPr>
          <w:rFonts w:eastAsia="黑体"/>
          <w:b/>
          <w:sz w:val="21"/>
          <w:lang w:eastAsia="zh-CN"/>
        </w:rPr>
        <w:fldChar w:fldCharType="end"/>
      </w:r>
      <w:r>
        <w:rPr>
          <w:rFonts w:eastAsia="黑体"/>
          <w:b/>
          <w:sz w:val="21"/>
          <w:lang w:eastAsia="zh-CN"/>
        </w:rPr>
        <w:t xml:space="preserve">  2022届</w:t>
      </w:r>
      <w:r>
        <w:rPr>
          <w:rFonts w:hint="eastAsia" w:eastAsia="黑体"/>
          <w:b/>
          <w:sz w:val="21"/>
          <w:lang w:eastAsia="zh-CN"/>
        </w:rPr>
        <w:t>各专业毕业生对工作各方面满意度评价</w:t>
      </w:r>
      <w:bookmarkEnd w:id="67"/>
      <w:bookmarkEnd w:id="68"/>
      <w:bookmarkEnd w:id="69"/>
    </w:p>
    <w:tbl>
      <w:tblPr>
        <w:tblStyle w:val="36"/>
        <w:tblW w:w="5000" w:type="pct"/>
        <w:tblInd w:w="0" w:type="dxa"/>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3968"/>
        <w:gridCol w:w="1998"/>
        <w:gridCol w:w="1998"/>
        <w:gridCol w:w="1998"/>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trPr>
        <w:tc>
          <w:tcPr>
            <w:tcW w:w="0" w:type="auto"/>
            <w:tcBorders>
              <w:top w:val="single" w:color="0F6FC6" w:sz="4" w:space="0"/>
              <w:left w:val="single" w:color="0F6FC6" w:sz="4" w:space="0"/>
              <w:bottom w:val="single" w:color="0F6FC6" w:sz="4" w:space="0"/>
              <w:right w:val="nil"/>
              <w:insideH w:val="single"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color w:val="FFFFFF"/>
                <w:sz w:val="21"/>
                <w:lang w:eastAsia="zh-CN"/>
              </w:rPr>
            </w:pPr>
            <w:r>
              <w:rPr>
                <w:rFonts w:eastAsia="宋体"/>
                <w:b/>
                <w:bCs/>
                <w:snapToGrid/>
                <w:color w:val="CCE8CF"/>
                <w:sz w:val="21"/>
                <w:lang w:eastAsia="zh-CN"/>
              </w:rPr>
              <w:t>专业</w:t>
            </w:r>
          </w:p>
        </w:tc>
        <w:tc>
          <w:tcPr>
            <w:tcW w:w="0" w:type="auto"/>
            <w:tcBorders>
              <w:top w:val="single" w:color="0F6FC6" w:sz="4" w:space="0"/>
              <w:bottom w:val="single" w:color="0F6FC6" w:sz="4" w:space="0"/>
              <w:right w:val="nil"/>
              <w:insideH w:val="single"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color w:val="FFFFFF"/>
                <w:sz w:val="21"/>
                <w:lang w:eastAsia="zh-CN"/>
              </w:rPr>
            </w:pPr>
            <w:r>
              <w:rPr>
                <w:rFonts w:eastAsia="宋体"/>
                <w:b/>
                <w:bCs/>
                <w:snapToGrid/>
                <w:color w:val="CCE8CF"/>
                <w:sz w:val="21"/>
                <w:lang w:eastAsia="zh-CN"/>
              </w:rPr>
              <w:t>工作内容</w:t>
            </w:r>
          </w:p>
        </w:tc>
        <w:tc>
          <w:tcPr>
            <w:tcW w:w="0" w:type="auto"/>
            <w:tcBorders>
              <w:top w:val="single" w:color="0F6FC6" w:sz="4" w:space="0"/>
              <w:bottom w:val="single" w:color="0F6FC6" w:sz="4" w:space="0"/>
              <w:right w:val="nil"/>
              <w:insideH w:val="single"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color w:val="FFFFFF"/>
                <w:sz w:val="21"/>
                <w:lang w:eastAsia="zh-CN"/>
              </w:rPr>
            </w:pPr>
            <w:r>
              <w:rPr>
                <w:rFonts w:eastAsia="宋体"/>
                <w:b/>
                <w:bCs/>
                <w:snapToGrid/>
                <w:color w:val="CCE8CF"/>
                <w:sz w:val="21"/>
                <w:lang w:eastAsia="zh-CN"/>
              </w:rPr>
              <w:t>职业前景</w:t>
            </w:r>
          </w:p>
        </w:tc>
        <w:tc>
          <w:tcPr>
            <w:tcW w:w="0" w:type="auto"/>
            <w:tcBorders>
              <w:top w:val="single" w:color="0F6FC6" w:sz="4" w:space="0"/>
              <w:bottom w:val="single" w:color="0F6FC6" w:sz="4" w:space="0"/>
              <w:right w:val="single" w:color="0F6FC6" w:sz="4" w:space="0"/>
              <w:insideH w:val="single"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color w:val="FFFFFF"/>
                <w:sz w:val="21"/>
                <w:lang w:eastAsia="zh-CN"/>
              </w:rPr>
            </w:pPr>
            <w:r>
              <w:rPr>
                <w:rFonts w:eastAsia="宋体"/>
                <w:b/>
                <w:bCs/>
                <w:snapToGrid/>
                <w:color w:val="CCE8CF"/>
                <w:sz w:val="21"/>
                <w:lang w:eastAsia="zh-CN"/>
              </w:rPr>
              <w:t>工作薪酬</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大数据技术与应用</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4.00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3.75</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3.56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制药工程</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3.69</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3.88</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3.63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健康服务与管理</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3.67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3.89</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3.44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护理</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3.56</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3.78</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3.67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物联网工程</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3.44</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3.22</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2.56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土木工程</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3.38</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3.14</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3.14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机械设计制造类</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3.36</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3.36</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3.20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化学工程与工艺</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*4.00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*4.50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*4.00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水路运输与海事管理</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*3.00</w:t>
            </w:r>
          </w:p>
        </w:tc>
      </w:tr>
    </w:tbl>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Chars="0"/>
        <w:jc w:val="both"/>
        <w:textAlignment w:val="auto"/>
        <w:rPr>
          <w:rFonts w:ascii="黑体" w:hAnsi="黑体" w:eastAsia="黑体"/>
          <w:snapToGrid/>
          <w:sz w:val="21"/>
          <w:lang w:eastAsia="zh-CN"/>
        </w:rPr>
      </w:pPr>
      <w:r>
        <w:rPr>
          <w:rFonts w:ascii="黑体" w:hAnsi="黑体" w:eastAsia="黑体"/>
          <w:snapToGrid/>
          <w:sz w:val="21"/>
          <w:lang w:eastAsia="zh-CN"/>
        </w:rPr>
        <w:t>注：</w:t>
      </w:r>
      <w:r>
        <w:rPr>
          <w:rFonts w:hint="eastAsia" w:ascii="黑体" w:hAnsi="黑体" w:eastAsia="黑体"/>
          <w:snapToGrid/>
          <w:sz w:val="21"/>
          <w:lang w:eastAsia="zh-CN"/>
        </w:rPr>
        <w:t>*</w:t>
      </w:r>
      <w:r>
        <w:rPr>
          <w:rFonts w:ascii="黑体" w:hAnsi="黑体" w:eastAsia="黑体"/>
          <w:snapToGrid/>
          <w:sz w:val="21"/>
          <w:lang w:eastAsia="zh-CN"/>
        </w:rPr>
        <w:t>专业样本量较小，其分析结果仅供参考，不纳入到报告结论的分析范围。</w:t>
      </w:r>
    </w:p>
    <w:p>
      <w:pPr>
        <w:rPr>
          <w:snapToGrid/>
          <w:sz w:val="21"/>
          <w:lang w:eastAsia="zh-CN"/>
        </w:rPr>
      </w:pPr>
      <w:r>
        <w:rPr>
          <w:rFonts w:hint="eastAsia" w:ascii="仿宋" w:hAnsi="仿宋"/>
          <w:sz w:val="21"/>
          <w:lang w:eastAsia="zh-CN"/>
        </w:rPr>
        <w:t>数据来源：北京新锦成教育技术有限公司</w:t>
      </w:r>
    </w:p>
    <w:p>
      <w:pPr>
        <w:pStyle w:val="2"/>
        <w:ind w:firstLine="640"/>
        <w:rPr>
          <w:lang w:eastAsia="zh-CN"/>
        </w:rPr>
      </w:pPr>
      <w:bookmarkStart w:id="70" w:name="_Toc151887713"/>
      <w:r>
        <w:rPr>
          <w:rFonts w:hint="eastAsia"/>
          <w:lang w:eastAsia="zh-CN"/>
        </w:rPr>
        <w:t>七</w:t>
      </w:r>
      <w:r>
        <w:rPr>
          <w:lang w:eastAsia="zh-CN"/>
        </w:rPr>
        <w:t>、</w:t>
      </w:r>
      <w:r>
        <w:rPr>
          <w:rFonts w:hint="eastAsia"/>
          <w:lang w:eastAsia="zh-CN"/>
        </w:rPr>
        <w:t>职业</w:t>
      </w:r>
      <w:r>
        <w:rPr>
          <w:lang w:eastAsia="zh-CN"/>
        </w:rPr>
        <w:t>期待吻合度</w:t>
      </w:r>
      <w:bookmarkEnd w:id="70"/>
    </w:p>
    <w:p>
      <w:pPr>
        <w:ind w:firstLine="640"/>
        <w:rPr>
          <w:lang w:val="zh-CN" w:eastAsia="zh-CN"/>
        </w:rPr>
      </w:pPr>
      <w:r>
        <w:rPr>
          <w:lang w:val="zh-CN" w:eastAsia="zh-CN"/>
        </w:rPr>
        <w:t>调查</w:t>
      </w:r>
      <w:r>
        <w:rPr>
          <w:rFonts w:hint="eastAsia"/>
          <w:lang w:val="zh-CN" w:eastAsia="zh-CN"/>
        </w:rPr>
        <w:t>了解</w:t>
      </w:r>
      <w:r>
        <w:rPr>
          <w:lang w:val="zh-CN" w:eastAsia="zh-CN"/>
        </w:rPr>
        <w:t>毕业生目前工作</w:t>
      </w:r>
      <w:r>
        <w:rPr>
          <w:rFonts w:hint="eastAsia"/>
          <w:lang w:val="zh-CN" w:eastAsia="zh-CN"/>
        </w:rPr>
        <w:t>与自身</w:t>
      </w:r>
      <w:r>
        <w:rPr>
          <w:lang w:val="zh-CN" w:eastAsia="zh-CN"/>
        </w:rPr>
        <w:t>职业</w:t>
      </w:r>
      <w:r>
        <w:rPr>
          <w:rFonts w:hint="eastAsia"/>
          <w:lang w:val="zh-CN" w:eastAsia="zh-CN"/>
        </w:rPr>
        <w:t>期待</w:t>
      </w:r>
      <w:r>
        <w:rPr>
          <w:lang w:val="zh-CN" w:eastAsia="zh-CN"/>
        </w:rPr>
        <w:t>的</w:t>
      </w:r>
      <w:r>
        <w:rPr>
          <w:rFonts w:hint="eastAsia"/>
          <w:lang w:val="zh-CN" w:eastAsia="zh-CN"/>
        </w:rPr>
        <w:t>吻合</w:t>
      </w:r>
      <w:r>
        <w:rPr>
          <w:lang w:val="zh-CN" w:eastAsia="zh-CN"/>
        </w:rPr>
        <w:t>情况，</w:t>
      </w:r>
      <w:r>
        <w:rPr>
          <w:rFonts w:hint="eastAsia"/>
          <w:lang w:val="zh-CN" w:eastAsia="zh-CN"/>
        </w:rPr>
        <w:t>其评价</w:t>
      </w:r>
      <w:r>
        <w:rPr>
          <w:lang w:val="zh-CN" w:eastAsia="zh-CN"/>
        </w:rPr>
        <w:t>维度</w:t>
      </w:r>
      <w:r>
        <w:rPr>
          <w:rFonts w:hint="eastAsia"/>
          <w:lang w:val="zh-CN" w:eastAsia="zh-CN"/>
        </w:rPr>
        <w:t>包括“</w:t>
      </w:r>
      <w:r>
        <w:rPr>
          <w:lang w:val="zh-CN" w:eastAsia="zh-CN"/>
        </w:rPr>
        <w:t>很不</w:t>
      </w:r>
      <w:r>
        <w:rPr>
          <w:rFonts w:hint="eastAsia"/>
          <w:lang w:val="zh-CN" w:eastAsia="zh-CN"/>
        </w:rPr>
        <w:t>符合</w:t>
      </w:r>
      <w:r>
        <w:rPr>
          <w:lang w:val="zh-CN" w:eastAsia="zh-CN"/>
        </w:rPr>
        <w:t>、不</w:t>
      </w:r>
      <w:r>
        <w:rPr>
          <w:rFonts w:hint="eastAsia"/>
          <w:lang w:val="zh-CN" w:eastAsia="zh-CN"/>
        </w:rPr>
        <w:t>符合</w:t>
      </w:r>
      <w:r>
        <w:rPr>
          <w:lang w:val="zh-CN" w:eastAsia="zh-CN"/>
        </w:rPr>
        <w:t>、</w:t>
      </w:r>
      <w:r>
        <w:rPr>
          <w:rFonts w:hint="eastAsia"/>
          <w:lang w:val="zh-CN" w:eastAsia="zh-CN"/>
        </w:rPr>
        <w:t>基本符合</w:t>
      </w:r>
      <w:r>
        <w:rPr>
          <w:lang w:val="zh-CN" w:eastAsia="zh-CN"/>
        </w:rPr>
        <w:t>、</w:t>
      </w:r>
      <w:r>
        <w:rPr>
          <w:rFonts w:hint="eastAsia"/>
          <w:lang w:val="zh-CN" w:eastAsia="zh-CN"/>
        </w:rPr>
        <w:t>符合</w:t>
      </w:r>
      <w:r>
        <w:rPr>
          <w:lang w:val="zh-CN" w:eastAsia="zh-CN"/>
        </w:rPr>
        <w:t>、很</w:t>
      </w:r>
      <w:r>
        <w:rPr>
          <w:rFonts w:hint="eastAsia"/>
          <w:lang w:val="zh-CN" w:eastAsia="zh-CN"/>
        </w:rPr>
        <w:t>符合”；职业期待</w:t>
      </w:r>
      <w:r>
        <w:rPr>
          <w:lang w:val="zh-CN" w:eastAsia="zh-CN"/>
        </w:rPr>
        <w:t>吻合</w:t>
      </w:r>
      <w:r>
        <w:rPr>
          <w:rFonts w:hint="eastAsia"/>
          <w:lang w:val="zh-CN" w:eastAsia="zh-CN"/>
        </w:rPr>
        <w:t>度为</w:t>
      </w:r>
      <w:r>
        <w:rPr>
          <w:lang w:val="zh-CN" w:eastAsia="zh-CN"/>
        </w:rPr>
        <w:t>选择</w:t>
      </w:r>
      <w:r>
        <w:rPr>
          <w:rFonts w:hint="eastAsia"/>
          <w:lang w:val="zh-CN" w:eastAsia="zh-CN"/>
        </w:rPr>
        <w:t>“很符合”“符合”“基本符合”的</w:t>
      </w:r>
      <w:r>
        <w:rPr>
          <w:lang w:val="zh-CN" w:eastAsia="zh-CN"/>
        </w:rPr>
        <w:t>人数</w:t>
      </w:r>
      <w:r>
        <w:rPr>
          <w:rFonts w:hint="eastAsia"/>
          <w:lang w:val="zh-CN" w:eastAsia="zh-CN"/>
        </w:rPr>
        <w:t>占“</w:t>
      </w:r>
      <w:r>
        <w:rPr>
          <w:lang w:val="zh-CN" w:eastAsia="zh-CN"/>
        </w:rPr>
        <w:t>回答此题总人数</w:t>
      </w:r>
      <w:r>
        <w:rPr>
          <w:rFonts w:hint="eastAsia"/>
          <w:lang w:val="zh-CN" w:eastAsia="zh-CN"/>
        </w:rPr>
        <w:t>-无法评价人数”</w:t>
      </w:r>
      <w:r>
        <w:rPr>
          <w:lang w:val="zh-CN" w:eastAsia="zh-CN"/>
        </w:rPr>
        <w:t>的比例</w:t>
      </w:r>
      <w:r>
        <w:rPr>
          <w:rFonts w:hint="eastAsia"/>
          <w:lang w:val="zh-CN" w:eastAsia="zh-CN"/>
        </w:rPr>
        <w:t>，另外针对毕业生的反馈分别赋予</w:t>
      </w:r>
      <w:r>
        <w:rPr>
          <w:lang w:val="zh-CN" w:eastAsia="zh-CN"/>
        </w:rPr>
        <w:t>1-5</w:t>
      </w:r>
      <w:r>
        <w:rPr>
          <w:rFonts w:hint="eastAsia"/>
          <w:lang w:val="zh-CN" w:eastAsia="zh-CN"/>
        </w:rPr>
        <w:t>分（“很不符合”=</w:t>
      </w:r>
      <w:r>
        <w:rPr>
          <w:lang w:val="zh-CN" w:eastAsia="zh-CN"/>
        </w:rPr>
        <w:t>1分</w:t>
      </w:r>
      <w:r>
        <w:rPr>
          <w:rFonts w:hint="eastAsia"/>
          <w:lang w:val="zh-CN" w:eastAsia="zh-CN"/>
        </w:rPr>
        <w:t>，“很符合”=</w:t>
      </w:r>
      <w:r>
        <w:rPr>
          <w:lang w:val="zh-CN" w:eastAsia="zh-CN"/>
        </w:rPr>
        <w:t>5分</w:t>
      </w:r>
      <w:r>
        <w:rPr>
          <w:rFonts w:hint="eastAsia"/>
          <w:lang w:val="zh-CN" w:eastAsia="zh-CN"/>
        </w:rPr>
        <w:t>），计算其均值。具体内容如下所示。</w:t>
      </w:r>
    </w:p>
    <w:p>
      <w:pPr>
        <w:ind w:firstLine="640"/>
        <w:rPr>
          <w:lang w:val="zh-CN" w:eastAsia="zh-CN"/>
        </w:rPr>
      </w:pPr>
      <w:r>
        <w:rPr>
          <w:rFonts w:hint="eastAsia"/>
          <w:lang w:val="zh-CN" w:eastAsia="zh-CN"/>
        </w:rPr>
        <w:t>总体</w:t>
      </w:r>
      <w:r>
        <w:rPr>
          <w:lang w:val="zh-CN" w:eastAsia="zh-CN"/>
        </w:rPr>
        <w:t>职业期待吻合度：</w:t>
      </w:r>
      <w:r>
        <w:rPr>
          <w:rFonts w:hint="eastAsia"/>
          <w:lang w:val="zh-CN" w:eastAsia="zh-CN"/>
        </w:rPr>
        <w:t>83.51%的毕业生认为目前的工作与自身期待的吻合情况处于“基本符合”及以上水平；目前工作与自身期待的吻合度均值为3.31分。</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after="156" w:line="360" w:lineRule="auto"/>
        <w:ind w:firstLine="0" w:firstLineChars="0"/>
        <w:jc w:val="center"/>
        <w:textAlignment w:val="auto"/>
        <w:rPr>
          <w:rFonts w:eastAsia="宋体"/>
          <w:snapToGrid/>
          <w:sz w:val="24"/>
          <w:szCs w:val="28"/>
          <w:lang w:eastAsia="zh-CN"/>
        </w:rPr>
      </w:pPr>
      <w:r>
        <w:rPr>
          <w:rFonts w:eastAsia="宋体"/>
          <w:snapToGrid/>
          <w:sz w:val="24"/>
          <w:szCs w:val="24"/>
          <w:lang w:eastAsia="zh-CN"/>
        </w:rPr>
        <w:drawing>
          <wp:inline distT="0" distB="0" distL="0" distR="0">
            <wp:extent cx="4119245" cy="1560830"/>
            <wp:effectExtent l="4445" t="4445" r="16510" b="9525"/>
            <wp:docPr id="67" name="图表 9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宋体"/>
          <w:b/>
          <w:sz w:val="24"/>
          <w:szCs w:val="24"/>
          <w:lang w:eastAsia="zh-CN"/>
        </w:rPr>
      </w:pPr>
      <w:r>
        <w:rPr>
          <w:rFonts w:hint="eastAsia" w:eastAsia="黑体"/>
          <w:b/>
          <w:sz w:val="21"/>
          <w:lang w:eastAsia="zh-CN"/>
        </w:rPr>
        <w:t>图3.</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15</w:t>
      </w:r>
      <w:r>
        <w:rPr>
          <w:rFonts w:eastAsia="黑体"/>
          <w:b/>
          <w:sz w:val="21"/>
          <w:lang w:eastAsia="zh-CN"/>
        </w:rPr>
        <w:fldChar w:fldCharType="end"/>
      </w:r>
      <w:r>
        <w:rPr>
          <w:rFonts w:hint="eastAsia" w:eastAsia="宋体"/>
          <w:b/>
          <w:sz w:val="24"/>
          <w:szCs w:val="24"/>
          <w:lang w:eastAsia="zh-CN"/>
        </w:rPr>
        <w:t xml:space="preserve">  </w:t>
      </w:r>
      <w:r>
        <w:rPr>
          <w:rFonts w:eastAsia="宋体"/>
          <w:b/>
          <w:sz w:val="24"/>
          <w:szCs w:val="24"/>
          <w:lang w:eastAsia="zh-CN"/>
        </w:rPr>
        <w:t>2022届</w:t>
      </w:r>
      <w:r>
        <w:rPr>
          <w:rFonts w:hint="eastAsia" w:eastAsia="宋体"/>
          <w:b/>
          <w:sz w:val="24"/>
          <w:szCs w:val="24"/>
          <w:lang w:eastAsia="zh-CN"/>
        </w:rPr>
        <w:t>毕业生</w:t>
      </w:r>
      <w:r>
        <w:rPr>
          <w:rFonts w:eastAsia="宋体"/>
          <w:b/>
          <w:sz w:val="24"/>
          <w:szCs w:val="24"/>
          <w:lang w:eastAsia="zh-CN"/>
        </w:rPr>
        <w:t>职业期待吻合情况</w:t>
      </w:r>
    </w:p>
    <w:p>
      <w:pPr>
        <w:rPr>
          <w:snapToGrid/>
          <w:sz w:val="21"/>
          <w:lang w:eastAsia="zh-CN"/>
        </w:rPr>
      </w:pPr>
      <w:r>
        <w:rPr>
          <w:rFonts w:hint="eastAsia" w:ascii="仿宋" w:hAnsi="仿宋"/>
          <w:sz w:val="21"/>
          <w:lang w:eastAsia="zh-CN"/>
        </w:rPr>
        <w:t>数据来源：北京新锦成教育技术有限公司</w:t>
      </w:r>
    </w:p>
    <w:p>
      <w:pPr>
        <w:pBdr>
          <w:top w:val="none" w:color="000000" w:sz="0" w:space="0"/>
          <w:left w:val="none" w:color="000000" w:sz="0" w:space="0"/>
          <w:bottom w:val="none" w:color="000000" w:sz="0" w:space="0"/>
          <w:right w:val="none" w:color="000000" w:sz="0" w:space="0"/>
          <w:between w:val="none" w:color="000000" w:sz="0" w:space="0"/>
        </w:pBdr>
        <w:spacing w:before="163" w:after="163" w:line="360" w:lineRule="auto"/>
        <w:ind w:firstLine="480"/>
        <w:jc w:val="both"/>
        <w:rPr>
          <w:rFonts w:eastAsia="宋体"/>
          <w:sz w:val="24"/>
          <w:szCs w:val="24"/>
          <w:lang w:val="zh-CN" w:eastAsia="zh-CN"/>
        </w:rPr>
      </w:pPr>
      <w:r>
        <w:rPr>
          <w:rFonts w:hint="eastAsia" w:ascii="宋体" w:hAnsi="宋体" w:eastAsia="宋体" w:cs="宋体"/>
          <w:sz w:val="24"/>
          <w:szCs w:val="24"/>
          <w:lang w:val="zh-CN" w:eastAsia="zh-CN"/>
        </w:rPr>
        <w:t>本</w:t>
      </w:r>
      <w:r>
        <w:rPr>
          <w:rFonts w:hint="eastAsia" w:eastAsia="Cambria"/>
          <w:sz w:val="24"/>
          <w:szCs w:val="24"/>
          <w:lang w:val="zh-CN" w:eastAsia="zh-CN"/>
        </w:rPr>
        <w:t>校2022</w:t>
      </w:r>
      <w:r>
        <w:rPr>
          <w:rFonts w:hint="eastAsia" w:ascii="宋体" w:hAnsi="宋体" w:eastAsia="宋体" w:cs="宋体"/>
          <w:sz w:val="24"/>
          <w:szCs w:val="24"/>
          <w:lang w:val="zh-CN" w:eastAsia="zh-CN"/>
        </w:rPr>
        <w:t>届毕业生</w:t>
      </w:r>
      <w:r>
        <w:rPr>
          <w:rFonts w:hint="eastAsia" w:eastAsia="Cambria"/>
          <w:sz w:val="24"/>
          <w:szCs w:val="24"/>
          <w:lang w:val="zh-CN" w:eastAsia="zh-CN"/>
        </w:rPr>
        <w:t>职业期待</w:t>
      </w:r>
      <w:r>
        <w:rPr>
          <w:rFonts w:eastAsia="Cambria"/>
          <w:sz w:val="24"/>
          <w:szCs w:val="24"/>
          <w:lang w:val="zh-CN" w:eastAsia="zh-CN"/>
        </w:rPr>
        <w:t>吻合</w:t>
      </w:r>
      <w:r>
        <w:rPr>
          <w:rFonts w:hint="eastAsia" w:eastAsia="Cambria"/>
          <w:sz w:val="24"/>
          <w:szCs w:val="24"/>
          <w:lang w:val="zh-CN" w:eastAsia="zh-CN"/>
        </w:rPr>
        <w:t>度（</w:t>
      </w:r>
      <w:r>
        <w:rPr>
          <w:rFonts w:hint="eastAsia" w:eastAsia="宋体"/>
          <w:sz w:val="24"/>
          <w:szCs w:val="24"/>
          <w:lang w:val="zh-CN" w:eastAsia="zh-CN"/>
        </w:rPr>
        <w:t>83.51%</w:t>
      </w:r>
      <w:r>
        <w:rPr>
          <w:rFonts w:eastAsia="Cambria"/>
          <w:sz w:val="24"/>
          <w:szCs w:val="24"/>
          <w:lang w:val="zh-CN" w:eastAsia="zh-CN"/>
        </w:rPr>
        <w:t>）</w:t>
      </w:r>
      <w:r>
        <w:rPr>
          <w:rFonts w:hint="eastAsia" w:eastAsia="宋体"/>
          <w:sz w:val="24"/>
          <w:szCs w:val="24"/>
          <w:lang w:val="zh-CN" w:eastAsia="zh-CN"/>
        </w:rPr>
        <w:t>比全国高校2022届毕业生职业</w:t>
      </w:r>
      <w:r>
        <w:rPr>
          <w:rFonts w:eastAsia="宋体"/>
          <w:sz w:val="24"/>
          <w:szCs w:val="24"/>
          <w:lang w:val="zh-CN" w:eastAsia="zh-CN"/>
        </w:rPr>
        <w:t>期待吻合度</w:t>
      </w:r>
      <w:r>
        <w:rPr>
          <w:rFonts w:hint="eastAsia" w:ascii="Calibri" w:hAnsi="Calibri" w:eastAsia="宋体"/>
          <w:sz w:val="24"/>
          <w:szCs w:val="24"/>
          <w:lang w:val="zh-CN" w:eastAsia="zh-CN"/>
        </w:rPr>
        <w:t>（</w:t>
      </w:r>
      <w:r>
        <w:rPr>
          <w:rFonts w:eastAsia="宋体"/>
          <w:sz w:val="24"/>
          <w:szCs w:val="24"/>
          <w:lang w:val="zh-CN" w:eastAsia="zh-CN"/>
        </w:rPr>
        <w:t>86.93%）低3.42</w:t>
      </w:r>
      <w:r>
        <w:rPr>
          <w:rFonts w:hint="eastAsia" w:eastAsia="宋体"/>
          <w:sz w:val="24"/>
          <w:szCs w:val="24"/>
          <w:lang w:val="zh-CN" w:eastAsia="zh-CN"/>
        </w:rPr>
        <w:t>个百分点。</w:t>
      </w:r>
    </w:p>
    <w:p>
      <w:pPr>
        <w:pStyle w:val="25"/>
      </w:pPr>
    </w:p>
    <w:p>
      <w:pPr>
        <w:pBdr>
          <w:top w:val="none" w:color="000000" w:sz="0" w:space="0"/>
          <w:left w:val="none" w:color="000000" w:sz="0" w:space="0"/>
          <w:bottom w:val="none" w:color="000000" w:sz="0" w:space="0"/>
          <w:right w:val="none" w:color="000000" w:sz="0" w:space="0"/>
          <w:between w:val="none" w:color="000000" w:sz="0" w:space="0"/>
        </w:pBdr>
        <w:spacing w:line="240" w:lineRule="atLeast"/>
        <w:ind w:firstLine="480"/>
        <w:jc w:val="center"/>
        <w:rPr>
          <w:rFonts w:eastAsia="宋体"/>
          <w:sz w:val="24"/>
          <w:szCs w:val="24"/>
          <w:lang w:val="zh-CN" w:eastAsia="zh-CN"/>
        </w:rPr>
      </w:pPr>
      <w:r>
        <w:rPr>
          <w:rFonts w:eastAsia="宋体"/>
          <w:sz w:val="24"/>
          <w:lang w:eastAsia="zh-CN"/>
        </w:rPr>
        <w:drawing>
          <wp:inline distT="0" distB="0" distL="0" distR="0">
            <wp:extent cx="5076825" cy="1696085"/>
            <wp:effectExtent l="0" t="0" r="3175" b="5715"/>
            <wp:docPr id="68" name="图表 9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line="240" w:lineRule="atLeast"/>
        <w:ind w:firstLine="422"/>
        <w:jc w:val="center"/>
        <w:rPr>
          <w:rFonts w:eastAsia="黑体"/>
          <w:b/>
          <w:bCs/>
          <w:sz w:val="21"/>
          <w:lang w:eastAsia="zh-CN"/>
        </w:rPr>
      </w:pPr>
      <w:r>
        <w:rPr>
          <w:rFonts w:hint="eastAsia" w:eastAsia="黑体"/>
          <w:b/>
          <w:sz w:val="21"/>
          <w:lang w:eastAsia="zh-CN"/>
        </w:rPr>
        <w:t xml:space="preserve">图1-2- </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16</w:t>
      </w:r>
      <w:r>
        <w:rPr>
          <w:rFonts w:eastAsia="黑体"/>
          <w:b/>
          <w:sz w:val="21"/>
          <w:lang w:eastAsia="zh-CN"/>
        </w:rPr>
        <w:fldChar w:fldCharType="end"/>
      </w:r>
      <w:r>
        <w:rPr>
          <w:rFonts w:eastAsia="黑体"/>
          <w:b/>
          <w:bCs/>
          <w:sz w:val="21"/>
          <w:lang w:eastAsia="zh-CN"/>
        </w:rPr>
        <w:t xml:space="preserve">  </w:t>
      </w:r>
      <w:r>
        <w:rPr>
          <w:rFonts w:eastAsia="黑体"/>
          <w:b/>
          <w:sz w:val="21"/>
          <w:lang w:eastAsia="zh-CN"/>
        </w:rPr>
        <w:t>2022届</w:t>
      </w:r>
      <w:r>
        <w:rPr>
          <w:rFonts w:hint="eastAsia" w:eastAsia="黑体"/>
          <w:b/>
          <w:bCs/>
          <w:sz w:val="21"/>
          <w:lang w:eastAsia="zh-CN"/>
        </w:rPr>
        <w:t>毕业生职业期待</w:t>
      </w:r>
      <w:r>
        <w:rPr>
          <w:rFonts w:eastAsia="黑体"/>
          <w:b/>
          <w:bCs/>
          <w:sz w:val="21"/>
          <w:lang w:eastAsia="zh-CN"/>
        </w:rPr>
        <w:t>吻合度</w:t>
      </w:r>
      <w:r>
        <w:rPr>
          <w:rFonts w:hint="eastAsia" w:eastAsia="黑体"/>
          <w:b/>
          <w:bCs/>
          <w:sz w:val="21"/>
          <w:lang w:eastAsia="zh-CN"/>
        </w:rPr>
        <w:t>对比分析</w:t>
      </w:r>
    </w:p>
    <w:p>
      <w:pPr>
        <w:rPr>
          <w:snapToGrid/>
          <w:sz w:val="21"/>
          <w:lang w:eastAsia="zh-CN"/>
        </w:rPr>
      </w:pPr>
      <w:r>
        <w:rPr>
          <w:rFonts w:hint="eastAsia" w:ascii="仿宋" w:hAnsi="仿宋"/>
          <w:sz w:val="21"/>
          <w:lang w:eastAsia="zh-CN"/>
        </w:rPr>
        <w:t>数据来源：北京新锦成教育技术有限公司</w:t>
      </w:r>
    </w:p>
    <w:p>
      <w:pPr>
        <w:pStyle w:val="3"/>
        <w:ind w:firstLine="643"/>
        <w:rPr>
          <w:lang w:val="zh-CN" w:eastAsia="zh-CN"/>
        </w:rPr>
      </w:pPr>
      <w:bookmarkStart w:id="71" w:name="_Toc151887714"/>
      <w:r>
        <w:rPr>
          <w:rFonts w:hint="eastAsia"/>
          <w:lang w:val="zh-CN" w:eastAsia="zh-CN"/>
        </w:rPr>
        <w:t>（一）</w:t>
      </w:r>
      <w:r>
        <w:rPr>
          <w:lang w:val="zh-CN" w:eastAsia="zh-CN"/>
        </w:rPr>
        <w:t>各</w:t>
      </w:r>
      <w:r>
        <w:rPr>
          <w:rFonts w:hint="eastAsia"/>
          <w:lang w:val="zh-CN" w:eastAsia="zh-CN"/>
        </w:rPr>
        <w:t>学院职业期待吻合度</w:t>
      </w:r>
      <w:bookmarkEnd w:id="71"/>
    </w:p>
    <w:p>
      <w:pPr>
        <w:ind w:firstLine="640"/>
        <w:rPr>
          <w:lang w:val="zh-CN" w:eastAsia="zh-CN"/>
        </w:rPr>
      </w:pPr>
      <w:r>
        <w:rPr>
          <w:rFonts w:hint="eastAsia"/>
          <w:lang w:val="zh-CN" w:eastAsia="zh-CN"/>
        </w:rPr>
        <w:t>各学院职业</w:t>
      </w:r>
      <w:r>
        <w:rPr>
          <w:lang w:val="zh-CN" w:eastAsia="zh-CN"/>
        </w:rPr>
        <w:t>期待吻合度</w:t>
      </w:r>
      <w:r>
        <w:rPr>
          <w:rFonts w:hint="eastAsia"/>
          <w:lang w:val="zh-CN" w:eastAsia="zh-CN"/>
        </w:rPr>
        <w:t>：各学院毕业生目前</w:t>
      </w:r>
      <w:r>
        <w:rPr>
          <w:lang w:val="zh-CN" w:eastAsia="zh-CN"/>
        </w:rPr>
        <w:t>所从事的工作岗位与自身职业期待</w:t>
      </w:r>
      <w:r>
        <w:rPr>
          <w:rFonts w:hint="eastAsia"/>
          <w:lang w:val="zh-CN" w:eastAsia="zh-CN"/>
        </w:rPr>
        <w:t>吻合</w:t>
      </w:r>
      <w:r>
        <w:rPr>
          <w:lang w:val="zh-CN" w:eastAsia="zh-CN"/>
        </w:rPr>
        <w:t>度</w:t>
      </w:r>
      <w:r>
        <w:rPr>
          <w:rFonts w:hint="eastAsia"/>
          <w:lang w:val="zh-CN" w:eastAsia="zh-CN"/>
        </w:rPr>
        <w:t>均在64.00%及以上</w:t>
      </w:r>
      <w:r>
        <w:rPr>
          <w:lang w:val="zh-CN" w:eastAsia="zh-CN"/>
        </w:rPr>
        <w:t>。</w:t>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r>
        <w:rPr>
          <w:rFonts w:hint="eastAsia" w:eastAsia="黑体"/>
          <w:b/>
          <w:sz w:val="21"/>
          <w:lang w:eastAsia="zh-CN"/>
        </w:rPr>
        <w:t>表3.</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表1-2-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12</w:t>
      </w:r>
      <w:r>
        <w:rPr>
          <w:rFonts w:eastAsia="黑体"/>
          <w:b/>
          <w:sz w:val="21"/>
          <w:lang w:eastAsia="zh-CN"/>
        </w:rPr>
        <w:fldChar w:fldCharType="end"/>
      </w:r>
      <w:r>
        <w:rPr>
          <w:rFonts w:eastAsia="黑体"/>
          <w:b/>
          <w:sz w:val="21"/>
          <w:lang w:eastAsia="zh-CN"/>
        </w:rPr>
        <w:t xml:space="preserve">  </w:t>
      </w:r>
      <w:r>
        <w:rPr>
          <w:rFonts w:hint="eastAsia" w:eastAsia="黑体"/>
          <w:b/>
          <w:sz w:val="21"/>
          <w:lang w:eastAsia="zh-CN"/>
        </w:rPr>
        <w:t>2022届各学院毕业生职业期待吻合情况分布</w:t>
      </w:r>
    </w:p>
    <w:tbl>
      <w:tblPr>
        <w:tblStyle w:val="30"/>
        <w:tblW w:w="5000" w:type="pct"/>
        <w:jc w:val="cente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2452"/>
        <w:gridCol w:w="1002"/>
        <w:gridCol w:w="1002"/>
        <w:gridCol w:w="1229"/>
        <w:gridCol w:w="1124"/>
        <w:gridCol w:w="1229"/>
        <w:gridCol w:w="1124"/>
        <w:gridCol w:w="800"/>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jc w:val="center"/>
        </w:trPr>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color w:val="CCE8CF"/>
                <w:sz w:val="21"/>
                <w:lang w:eastAsia="zh-CN"/>
              </w:rPr>
            </w:pPr>
            <w:r>
              <w:rPr>
                <w:rFonts w:hint="eastAsia" w:ascii="微软雅黑" w:hAnsi="微软雅黑" w:eastAsia="微软雅黑" w:cs="微软雅黑"/>
                <w:b/>
                <w:bCs/>
                <w:snapToGrid/>
                <w:color w:val="CCE8CF"/>
                <w:sz w:val="21"/>
                <w:lang w:eastAsia="zh-CN"/>
              </w:rPr>
              <w:t>学院</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color w:val="CCE8CF"/>
                <w:sz w:val="21"/>
                <w:lang w:eastAsia="zh-CN"/>
              </w:rPr>
            </w:pPr>
            <w:r>
              <w:rPr>
                <w:rFonts w:hint="eastAsia" w:eastAsia="Calibri"/>
                <w:b/>
                <w:bCs/>
                <w:snapToGrid/>
                <w:color w:val="CCE8CF"/>
                <w:sz w:val="21"/>
                <w:lang w:eastAsia="zh-CN"/>
              </w:rPr>
              <w:t>很符合</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color w:val="CCE8CF"/>
                <w:sz w:val="21"/>
                <w:lang w:eastAsia="zh-CN"/>
              </w:rPr>
            </w:pPr>
            <w:r>
              <w:rPr>
                <w:rFonts w:hint="eastAsia" w:eastAsia="Calibri"/>
                <w:b/>
                <w:bCs/>
                <w:snapToGrid/>
                <w:color w:val="CCE8CF"/>
                <w:sz w:val="21"/>
                <w:lang w:eastAsia="zh-CN"/>
              </w:rPr>
              <w:t>符合</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color w:val="CCE8CF"/>
                <w:sz w:val="21"/>
                <w:lang w:eastAsia="zh-CN"/>
              </w:rPr>
            </w:pPr>
            <w:r>
              <w:rPr>
                <w:rFonts w:hint="eastAsia" w:eastAsia="Calibri"/>
                <w:b/>
                <w:bCs/>
                <w:snapToGrid/>
                <w:color w:val="CCE8CF"/>
                <w:sz w:val="21"/>
                <w:lang w:eastAsia="zh-CN"/>
              </w:rPr>
              <w:t>基本符合</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color w:val="CCE8CF"/>
                <w:sz w:val="21"/>
                <w:lang w:eastAsia="zh-CN"/>
              </w:rPr>
            </w:pPr>
            <w:r>
              <w:rPr>
                <w:rFonts w:hint="eastAsia" w:eastAsia="Calibri"/>
                <w:b/>
                <w:bCs/>
                <w:snapToGrid/>
                <w:color w:val="CCE8CF"/>
                <w:sz w:val="21"/>
                <w:lang w:eastAsia="zh-CN"/>
              </w:rPr>
              <w:t>不符合</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color w:val="CCE8CF"/>
                <w:sz w:val="21"/>
                <w:lang w:eastAsia="zh-CN"/>
              </w:rPr>
            </w:pPr>
            <w:r>
              <w:rPr>
                <w:rFonts w:hint="eastAsia" w:eastAsia="Calibri"/>
                <w:b/>
                <w:bCs/>
                <w:snapToGrid/>
                <w:color w:val="CCE8CF"/>
                <w:sz w:val="21"/>
                <w:lang w:eastAsia="zh-CN"/>
              </w:rPr>
              <w:t>很不符合</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color w:val="CCE8CF"/>
                <w:sz w:val="21"/>
                <w:lang w:eastAsia="zh-CN"/>
              </w:rPr>
            </w:pPr>
            <w:r>
              <w:rPr>
                <w:rFonts w:hint="eastAsia" w:eastAsia="Calibri"/>
                <w:b/>
                <w:bCs/>
                <w:snapToGrid/>
                <w:color w:val="CCE8CF"/>
                <w:sz w:val="21"/>
                <w:lang w:eastAsia="zh-CN"/>
              </w:rPr>
              <w:t>吻合度</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color w:val="CCE8CF"/>
                <w:sz w:val="21"/>
                <w:lang w:eastAsia="zh-CN"/>
              </w:rPr>
            </w:pPr>
            <w:r>
              <w:rPr>
                <w:rFonts w:hint="eastAsia" w:eastAsia="Calibri"/>
                <w:b/>
                <w:bCs/>
                <w:snapToGrid/>
                <w:color w:val="CCE8CF"/>
                <w:sz w:val="21"/>
                <w:lang w:eastAsia="zh-CN"/>
              </w:rPr>
              <w:t>均值</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国际护理学院</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40.00%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100.00%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3.70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城建学院</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31.58%</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68.42%</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100.00%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3.32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化学与材料工程学院</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5.56%</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83.33%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5.56%</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5.56%</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94.44%</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3.89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健康科学学院</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14.29%</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28.57%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42.86%</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14.29%</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85.71%</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3.43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信息工程学院</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6.25%</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18.75%</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25.00%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75.00%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3.06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机电工程学院</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16.00%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4.00%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44.00%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28.00%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8.00%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64.00%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2.92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海事学院</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*2.50</w:t>
            </w:r>
          </w:p>
        </w:tc>
      </w:tr>
    </w:tbl>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Chars="0"/>
        <w:jc w:val="both"/>
        <w:textAlignment w:val="auto"/>
        <w:rPr>
          <w:rFonts w:ascii="黑体" w:hAnsi="黑体" w:eastAsia="黑体"/>
          <w:snapToGrid/>
          <w:sz w:val="21"/>
          <w:lang w:eastAsia="zh-CN"/>
        </w:rPr>
      </w:pPr>
      <w:r>
        <w:rPr>
          <w:rFonts w:hint="eastAsia" w:ascii="黑体" w:hAnsi="黑体" w:eastAsia="黑体"/>
          <w:snapToGrid/>
          <w:sz w:val="21"/>
          <w:lang w:eastAsia="zh-CN"/>
        </w:rPr>
        <w:t>注</w:t>
      </w:r>
      <w:r>
        <w:rPr>
          <w:rFonts w:ascii="黑体" w:hAnsi="黑体" w:eastAsia="黑体"/>
          <w:snapToGrid/>
          <w:sz w:val="21"/>
          <w:lang w:eastAsia="zh-CN"/>
        </w:rPr>
        <w:t>：</w:t>
      </w:r>
      <w:r>
        <w:rPr>
          <w:rFonts w:hint="eastAsia" w:ascii="黑体" w:hAnsi="黑体" w:eastAsia="黑体"/>
          <w:snapToGrid/>
          <w:sz w:val="21"/>
          <w:lang w:eastAsia="zh-CN"/>
        </w:rPr>
        <w:t>*学院样本量较小，其分析结果仅供参考，不纳入到报告结论的分析范畴。</w:t>
      </w:r>
    </w:p>
    <w:p>
      <w:pPr>
        <w:rPr>
          <w:snapToGrid/>
          <w:sz w:val="21"/>
          <w:lang w:eastAsia="zh-CN"/>
        </w:rPr>
      </w:pPr>
      <w:r>
        <w:rPr>
          <w:rFonts w:hint="eastAsia" w:ascii="仿宋" w:hAnsi="仿宋"/>
          <w:sz w:val="21"/>
          <w:lang w:eastAsia="zh-CN"/>
        </w:rPr>
        <w:t>数据来源：北京新锦成教育技术有限公司</w:t>
      </w:r>
    </w:p>
    <w:p>
      <w:pPr>
        <w:pStyle w:val="3"/>
        <w:ind w:firstLine="643"/>
        <w:rPr>
          <w:lang w:val="zh-CN" w:eastAsia="zh-CN"/>
        </w:rPr>
      </w:pPr>
      <w:bookmarkStart w:id="72" w:name="_Toc151887715"/>
      <w:r>
        <w:rPr>
          <w:rFonts w:hint="eastAsia"/>
          <w:lang w:val="zh-CN" w:eastAsia="zh-CN"/>
        </w:rPr>
        <w:t>（二）</w:t>
      </w:r>
      <w:r>
        <w:rPr>
          <w:lang w:val="zh-CN" w:eastAsia="zh-CN"/>
        </w:rPr>
        <w:t>各</w:t>
      </w:r>
      <w:r>
        <w:rPr>
          <w:rFonts w:hint="eastAsia"/>
          <w:lang w:val="zh-CN" w:eastAsia="zh-CN"/>
        </w:rPr>
        <w:t>专业职业期待吻合度</w:t>
      </w:r>
      <w:bookmarkEnd w:id="72"/>
    </w:p>
    <w:p>
      <w:pPr>
        <w:ind w:firstLine="640"/>
        <w:rPr>
          <w:lang w:val="zh-CN" w:eastAsia="zh-CN"/>
        </w:rPr>
      </w:pPr>
      <w:r>
        <w:rPr>
          <w:rFonts w:hint="eastAsia"/>
          <w:lang w:val="zh-CN" w:eastAsia="zh-CN"/>
        </w:rPr>
        <w:t>各专业</w:t>
      </w:r>
      <w:r>
        <w:rPr>
          <w:lang w:val="zh-CN" w:eastAsia="zh-CN"/>
        </w:rPr>
        <w:t>的</w:t>
      </w:r>
      <w:r>
        <w:rPr>
          <w:rFonts w:hint="eastAsia"/>
          <w:lang w:val="zh-CN" w:eastAsia="zh-CN"/>
        </w:rPr>
        <w:t>职业</w:t>
      </w:r>
      <w:r>
        <w:rPr>
          <w:lang w:val="zh-CN" w:eastAsia="zh-CN"/>
        </w:rPr>
        <w:t>期待吻合度：</w:t>
      </w:r>
      <w:r>
        <w:rPr>
          <w:rFonts w:hint="eastAsia"/>
          <w:lang w:val="zh-CN" w:eastAsia="zh-CN"/>
        </w:rPr>
        <w:t>“护理”“大数据技术与应用”“土木工程”专业的毕业生职业期待吻合度相对较高，均达到100.00%；而“物联网工程”专业的毕业生职业期待吻合度相对较低，为50.00%。</w:t>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r>
        <w:rPr>
          <w:rFonts w:hint="eastAsia" w:eastAsia="黑体"/>
          <w:b/>
          <w:sz w:val="21"/>
          <w:lang w:eastAsia="zh-CN"/>
        </w:rPr>
        <w:t>表3.</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表1-2-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13</w:t>
      </w:r>
      <w:r>
        <w:rPr>
          <w:rFonts w:eastAsia="黑体"/>
          <w:b/>
          <w:sz w:val="21"/>
          <w:lang w:eastAsia="zh-CN"/>
        </w:rPr>
        <w:fldChar w:fldCharType="end"/>
      </w:r>
      <w:r>
        <w:rPr>
          <w:rFonts w:eastAsia="黑体"/>
          <w:b/>
          <w:sz w:val="21"/>
          <w:lang w:eastAsia="zh-CN"/>
        </w:rPr>
        <w:t xml:space="preserve">  </w:t>
      </w:r>
      <w:r>
        <w:rPr>
          <w:rFonts w:hint="eastAsia" w:eastAsia="黑体"/>
          <w:b/>
          <w:sz w:val="21"/>
          <w:lang w:eastAsia="zh-CN"/>
        </w:rPr>
        <w:t>2022届各专业毕业生职业期待吻合情况分布</w:t>
      </w:r>
    </w:p>
    <w:tbl>
      <w:tblPr>
        <w:tblStyle w:val="30"/>
        <w:tblW w:w="8788" w:type="dxa"/>
        <w:jc w:val="cente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fixed"/>
        <w:tblCellMar>
          <w:top w:w="0" w:type="dxa"/>
          <w:left w:w="108" w:type="dxa"/>
          <w:bottom w:w="0" w:type="dxa"/>
          <w:right w:w="108" w:type="dxa"/>
        </w:tblCellMar>
      </w:tblPr>
      <w:tblGrid>
        <w:gridCol w:w="4669"/>
        <w:gridCol w:w="2197"/>
        <w:gridCol w:w="1922"/>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jc w:val="center"/>
        </w:trPr>
        <w:tc>
          <w:tcPr>
            <w:tcW w:w="4669" w:type="dxa"/>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color w:val="CCE8CF"/>
                <w:sz w:val="21"/>
                <w:lang w:eastAsia="zh-CN"/>
              </w:rPr>
            </w:pPr>
            <w:r>
              <w:rPr>
                <w:rFonts w:hint="eastAsia" w:eastAsia="Calibri"/>
                <w:b/>
                <w:bCs/>
                <w:snapToGrid/>
                <w:color w:val="CCE8CF"/>
                <w:sz w:val="21"/>
                <w:lang w:eastAsia="zh-CN"/>
              </w:rPr>
              <w:t>专业</w:t>
            </w:r>
          </w:p>
        </w:tc>
        <w:tc>
          <w:tcPr>
            <w:tcW w:w="2197" w:type="dxa"/>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color w:val="CCE8CF"/>
                <w:sz w:val="21"/>
                <w:lang w:eastAsia="zh-CN"/>
              </w:rPr>
            </w:pPr>
            <w:r>
              <w:rPr>
                <w:rFonts w:hint="eastAsia" w:eastAsia="Calibri"/>
                <w:b/>
                <w:bCs/>
                <w:snapToGrid/>
                <w:color w:val="CCE8CF"/>
                <w:sz w:val="21"/>
                <w:lang w:eastAsia="zh-CN"/>
              </w:rPr>
              <w:t>吻合度</w:t>
            </w:r>
          </w:p>
        </w:tc>
        <w:tc>
          <w:tcPr>
            <w:tcW w:w="1922" w:type="dxa"/>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color w:val="CCE8CF"/>
                <w:sz w:val="21"/>
                <w:lang w:eastAsia="zh-CN"/>
              </w:rPr>
            </w:pPr>
            <w:r>
              <w:rPr>
                <w:rFonts w:hint="eastAsia" w:eastAsia="Calibri"/>
                <w:b/>
                <w:bCs/>
                <w:snapToGrid/>
                <w:color w:val="CCE8CF"/>
                <w:sz w:val="21"/>
                <w:lang w:eastAsia="zh-CN"/>
              </w:rPr>
              <w:t>均值</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护理</w:t>
            </w:r>
          </w:p>
        </w:tc>
        <w:tc>
          <w:tcPr>
            <w:tcW w:w="2197"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100.00%</w:t>
            </w:r>
          </w:p>
        </w:tc>
        <w:tc>
          <w:tcPr>
            <w:tcW w:w="192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3.70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大数据技术与应用</w:t>
            </w:r>
          </w:p>
        </w:tc>
        <w:tc>
          <w:tcPr>
            <w:tcW w:w="2197"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100.00%</w:t>
            </w:r>
          </w:p>
        </w:tc>
        <w:tc>
          <w:tcPr>
            <w:tcW w:w="192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3.50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土木工程</w:t>
            </w:r>
          </w:p>
        </w:tc>
        <w:tc>
          <w:tcPr>
            <w:tcW w:w="2197"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100.00%</w:t>
            </w:r>
          </w:p>
        </w:tc>
        <w:tc>
          <w:tcPr>
            <w:tcW w:w="192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3.32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制药工程</w:t>
            </w:r>
          </w:p>
        </w:tc>
        <w:tc>
          <w:tcPr>
            <w:tcW w:w="2197"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93.75%</w:t>
            </w:r>
          </w:p>
        </w:tc>
        <w:tc>
          <w:tcPr>
            <w:tcW w:w="192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3.81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健康服务与管理</w:t>
            </w:r>
          </w:p>
        </w:tc>
        <w:tc>
          <w:tcPr>
            <w:tcW w:w="2197"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85.71%</w:t>
            </w:r>
          </w:p>
        </w:tc>
        <w:tc>
          <w:tcPr>
            <w:tcW w:w="192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3.43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机械设计制造类</w:t>
            </w:r>
          </w:p>
        </w:tc>
        <w:tc>
          <w:tcPr>
            <w:tcW w:w="2197"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64.00%</w:t>
            </w:r>
          </w:p>
        </w:tc>
        <w:tc>
          <w:tcPr>
            <w:tcW w:w="192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2.92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物联网工程</w:t>
            </w:r>
          </w:p>
        </w:tc>
        <w:tc>
          <w:tcPr>
            <w:tcW w:w="2197"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50.00%</w:t>
            </w:r>
          </w:p>
        </w:tc>
        <w:tc>
          <w:tcPr>
            <w:tcW w:w="192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2.63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化学工程与工艺</w:t>
            </w:r>
          </w:p>
        </w:tc>
        <w:tc>
          <w:tcPr>
            <w:tcW w:w="2197"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*100.00%</w:t>
            </w:r>
          </w:p>
        </w:tc>
        <w:tc>
          <w:tcPr>
            <w:tcW w:w="192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*4.50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水路运输与海事管理</w:t>
            </w:r>
          </w:p>
        </w:tc>
        <w:tc>
          <w:tcPr>
            <w:tcW w:w="2197"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*50.00%</w:t>
            </w:r>
          </w:p>
        </w:tc>
        <w:tc>
          <w:tcPr>
            <w:tcW w:w="192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*2.50</w:t>
            </w:r>
          </w:p>
        </w:tc>
      </w:tr>
    </w:tbl>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Chars="0"/>
        <w:jc w:val="both"/>
        <w:textAlignment w:val="auto"/>
        <w:rPr>
          <w:rFonts w:ascii="黑体" w:hAnsi="黑体" w:eastAsia="黑体"/>
          <w:snapToGrid/>
          <w:sz w:val="21"/>
          <w:lang w:eastAsia="zh-CN"/>
        </w:rPr>
      </w:pPr>
      <w:r>
        <w:rPr>
          <w:rFonts w:ascii="黑体" w:hAnsi="黑体" w:eastAsia="黑体"/>
          <w:snapToGrid/>
          <w:sz w:val="21"/>
          <w:lang w:eastAsia="zh-CN"/>
        </w:rPr>
        <w:t>注：</w:t>
      </w:r>
      <w:r>
        <w:rPr>
          <w:rFonts w:hint="eastAsia" w:ascii="黑体" w:hAnsi="黑体" w:eastAsia="黑体"/>
          <w:snapToGrid/>
          <w:sz w:val="21"/>
          <w:lang w:eastAsia="zh-CN"/>
        </w:rPr>
        <w:t>*</w:t>
      </w:r>
      <w:r>
        <w:rPr>
          <w:rFonts w:ascii="黑体" w:hAnsi="黑体" w:eastAsia="黑体"/>
          <w:snapToGrid/>
          <w:sz w:val="21"/>
          <w:lang w:eastAsia="zh-CN"/>
        </w:rPr>
        <w:t>专业样本量较小，其分析结果仅供参考，不纳入到报告结论的分析范畴。</w:t>
      </w:r>
    </w:p>
    <w:p>
      <w:pPr>
        <w:rPr>
          <w:snapToGrid/>
          <w:sz w:val="21"/>
          <w:lang w:eastAsia="zh-CN"/>
        </w:rPr>
      </w:pPr>
      <w:r>
        <w:rPr>
          <w:rFonts w:hint="eastAsia" w:ascii="仿宋" w:hAnsi="仿宋"/>
          <w:sz w:val="21"/>
          <w:lang w:eastAsia="zh-CN"/>
        </w:rPr>
        <w:t>数据来源：北京新锦成教育技术有限公司</w:t>
      </w:r>
    </w:p>
    <w:p>
      <w:pPr>
        <w:pStyle w:val="2"/>
        <w:ind w:firstLine="640"/>
        <w:rPr>
          <w:lang w:eastAsia="zh-CN"/>
        </w:rPr>
      </w:pPr>
      <w:bookmarkStart w:id="73" w:name="_Toc151887716"/>
      <w:r>
        <w:rPr>
          <w:rFonts w:hint="eastAsia"/>
          <w:lang w:eastAsia="zh-CN"/>
        </w:rPr>
        <w:t>八</w:t>
      </w:r>
      <w:r>
        <w:rPr>
          <w:lang w:eastAsia="zh-CN"/>
        </w:rPr>
        <w:t>、工作稳定</w:t>
      </w:r>
      <w:r>
        <w:rPr>
          <w:rFonts w:hint="eastAsia"/>
          <w:lang w:eastAsia="zh-CN"/>
        </w:rPr>
        <w:t>度</w:t>
      </w:r>
      <w:bookmarkEnd w:id="73"/>
    </w:p>
    <w:p>
      <w:pPr>
        <w:ind w:firstLine="640"/>
        <w:rPr>
          <w:lang w:val="zh-CN" w:eastAsia="zh-CN"/>
        </w:rPr>
      </w:pPr>
      <w:r>
        <w:rPr>
          <w:rFonts w:hint="eastAsia"/>
          <w:lang w:val="zh-CN" w:eastAsia="zh-CN"/>
        </w:rPr>
        <w:t>工作</w:t>
      </w:r>
      <w:r>
        <w:rPr>
          <w:lang w:val="zh-CN" w:eastAsia="zh-CN"/>
        </w:rPr>
        <w:t>稳定</w:t>
      </w:r>
      <w:r>
        <w:rPr>
          <w:rFonts w:hint="eastAsia"/>
          <w:lang w:val="zh-CN" w:eastAsia="zh-CN"/>
        </w:rPr>
        <w:t>度是</w:t>
      </w:r>
      <w:r>
        <w:rPr>
          <w:lang w:val="zh-CN" w:eastAsia="zh-CN"/>
        </w:rPr>
        <w:t>衡</w:t>
      </w:r>
      <w:r>
        <w:rPr>
          <w:rFonts w:hint="eastAsia"/>
          <w:lang w:val="zh-CN" w:eastAsia="zh-CN"/>
        </w:rPr>
        <w:t>量毕业至今，毕业生更换工作单位的情况。</w:t>
      </w:r>
      <w:r>
        <w:rPr>
          <w:lang w:val="zh-CN" w:eastAsia="zh-CN"/>
        </w:rPr>
        <w:t>离职率=（更换工作单位在1次及以上的人数/总人数）*100.00%</w:t>
      </w:r>
      <w:r>
        <w:rPr>
          <w:rFonts w:hint="eastAsia"/>
          <w:lang w:val="zh-CN" w:eastAsia="zh-CN"/>
        </w:rPr>
        <w:t>，</w:t>
      </w:r>
      <w:r>
        <w:rPr>
          <w:lang w:val="zh-CN" w:eastAsia="zh-CN"/>
        </w:rPr>
        <w:t>稳定</w:t>
      </w:r>
      <w:r>
        <w:rPr>
          <w:rFonts w:hint="eastAsia"/>
          <w:lang w:val="zh-CN" w:eastAsia="zh-CN"/>
        </w:rPr>
        <w:t>度</w:t>
      </w:r>
      <w:r>
        <w:rPr>
          <w:lang w:val="zh-CN" w:eastAsia="zh-CN"/>
        </w:rPr>
        <w:t>=100.00%-离职率。离职率越高，</w:t>
      </w:r>
      <w:r>
        <w:rPr>
          <w:rFonts w:hint="eastAsia"/>
          <w:lang w:val="zh-CN" w:eastAsia="zh-CN"/>
        </w:rPr>
        <w:t>则表示</w:t>
      </w:r>
      <w:r>
        <w:rPr>
          <w:lang w:val="zh-CN" w:eastAsia="zh-CN"/>
        </w:rPr>
        <w:t>其工作稳定</w:t>
      </w:r>
      <w:r>
        <w:rPr>
          <w:rFonts w:hint="eastAsia"/>
          <w:lang w:val="zh-CN" w:eastAsia="zh-CN"/>
        </w:rPr>
        <w:t>度越</w:t>
      </w:r>
      <w:r>
        <w:rPr>
          <w:lang w:val="zh-CN" w:eastAsia="zh-CN"/>
        </w:rPr>
        <w:t>差</w:t>
      </w:r>
      <w:r>
        <w:rPr>
          <w:rFonts w:hint="eastAsia"/>
          <w:lang w:val="zh-CN" w:eastAsia="zh-CN"/>
        </w:rPr>
        <w:t>；</w:t>
      </w:r>
      <w:r>
        <w:rPr>
          <w:lang w:val="zh-CN" w:eastAsia="zh-CN"/>
        </w:rPr>
        <w:t>反之，离职</w:t>
      </w:r>
      <w:r>
        <w:rPr>
          <w:rFonts w:hint="eastAsia"/>
          <w:lang w:val="zh-CN" w:eastAsia="zh-CN"/>
        </w:rPr>
        <w:t>率越低</w:t>
      </w:r>
      <w:r>
        <w:rPr>
          <w:lang w:val="zh-CN" w:eastAsia="zh-CN"/>
        </w:rPr>
        <w:t>，则</w:t>
      </w:r>
      <w:r>
        <w:rPr>
          <w:rFonts w:hint="eastAsia"/>
          <w:lang w:val="zh-CN" w:eastAsia="zh-CN"/>
        </w:rPr>
        <w:t>工作稳定度越高。</w:t>
      </w:r>
    </w:p>
    <w:p>
      <w:pPr>
        <w:ind w:firstLine="640"/>
        <w:rPr>
          <w:lang w:val="zh-CN" w:eastAsia="zh-CN"/>
        </w:rPr>
      </w:pPr>
      <w:r>
        <w:rPr>
          <w:rFonts w:hint="eastAsia"/>
          <w:lang w:val="zh-CN" w:eastAsia="zh-CN"/>
        </w:rPr>
        <w:t>总体</w:t>
      </w:r>
      <w:r>
        <w:rPr>
          <w:lang w:val="zh-CN" w:eastAsia="zh-CN"/>
        </w:rPr>
        <w:t>工作稳定</w:t>
      </w:r>
      <w:r>
        <w:rPr>
          <w:rFonts w:hint="eastAsia"/>
          <w:lang w:val="zh-CN" w:eastAsia="zh-CN"/>
        </w:rPr>
        <w:t>度</w:t>
      </w:r>
      <w:r>
        <w:rPr>
          <w:lang w:val="zh-CN" w:eastAsia="zh-CN"/>
        </w:rPr>
        <w:t>：</w:t>
      </w:r>
      <w:r>
        <w:rPr>
          <w:rFonts w:hint="eastAsia"/>
          <w:lang w:val="zh-CN" w:eastAsia="zh-CN"/>
        </w:rPr>
        <w:t>本校2022届毕业生的稳定度为78.63%，离职率为21.37%，离职次数集中在“1次”。</w:t>
      </w:r>
    </w:p>
    <w:p>
      <w:pPr>
        <w:pBdr>
          <w:top w:val="none" w:color="000000" w:sz="0" w:space="0"/>
          <w:left w:val="none" w:color="000000" w:sz="0" w:space="0"/>
          <w:bottom w:val="none" w:color="000000" w:sz="0" w:space="0"/>
          <w:right w:val="none" w:color="000000" w:sz="0" w:space="0"/>
          <w:between w:val="none" w:color="000000" w:sz="0" w:space="0"/>
        </w:pBdr>
        <w:spacing w:before="163" w:after="156" w:line="360" w:lineRule="auto"/>
        <w:ind w:firstLine="480"/>
        <w:jc w:val="center"/>
        <w:rPr>
          <w:rFonts w:eastAsia="Calibri" w:cs="宋体"/>
          <w:color w:val="auto"/>
          <w:sz w:val="24"/>
          <w:lang w:eastAsia="zh-CN"/>
        </w:rPr>
      </w:pPr>
      <w:r>
        <w:rPr>
          <w:rFonts w:ascii="Calibri" w:hAnsi="Calibri" w:eastAsia="Calibri" w:cs="宋体"/>
          <w:sz w:val="24"/>
          <w:lang w:eastAsia="zh-CN"/>
        </w:rPr>
        <w:drawing>
          <wp:inline distT="0" distB="0" distL="0" distR="0">
            <wp:extent cx="4000500" cy="1568450"/>
            <wp:effectExtent l="0" t="0" r="0" b="6350"/>
            <wp:docPr id="69" name="图表 9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r>
        <w:rPr>
          <w:rFonts w:hint="eastAsia" w:eastAsia="黑体"/>
          <w:b/>
          <w:sz w:val="21"/>
          <w:lang w:eastAsia="zh-CN"/>
        </w:rPr>
        <w:t>图3.</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17</w:t>
      </w:r>
      <w:r>
        <w:rPr>
          <w:rFonts w:eastAsia="黑体"/>
          <w:b/>
          <w:sz w:val="21"/>
          <w:lang w:eastAsia="zh-CN"/>
        </w:rPr>
        <w:fldChar w:fldCharType="end"/>
      </w:r>
      <w:r>
        <w:rPr>
          <w:rFonts w:eastAsia="黑体"/>
          <w:sz w:val="21"/>
          <w:lang w:eastAsia="zh-CN"/>
        </w:rPr>
        <w:t xml:space="preserve"> </w:t>
      </w:r>
      <w:r>
        <w:rPr>
          <w:rFonts w:hint="eastAsia" w:eastAsia="黑体"/>
          <w:b/>
          <w:sz w:val="21"/>
          <w:lang w:eastAsia="zh-CN"/>
        </w:rPr>
        <w:t xml:space="preserve">  </w:t>
      </w:r>
      <w:r>
        <w:rPr>
          <w:rFonts w:eastAsia="黑体"/>
          <w:b/>
          <w:sz w:val="21"/>
          <w:lang w:eastAsia="zh-CN"/>
        </w:rPr>
        <w:t>2022届</w:t>
      </w:r>
      <w:r>
        <w:rPr>
          <w:rFonts w:hint="eastAsia" w:eastAsia="黑体"/>
          <w:b/>
          <w:sz w:val="21"/>
          <w:lang w:eastAsia="zh-CN"/>
        </w:rPr>
        <w:t>毕业生离职情况分布</w:t>
      </w:r>
    </w:p>
    <w:p>
      <w:pPr>
        <w:rPr>
          <w:snapToGrid/>
          <w:sz w:val="21"/>
          <w:lang w:eastAsia="zh-CN"/>
        </w:rPr>
      </w:pPr>
      <w:r>
        <w:rPr>
          <w:rFonts w:hint="eastAsia" w:ascii="仿宋" w:hAnsi="仿宋"/>
          <w:sz w:val="21"/>
          <w:lang w:eastAsia="zh-CN"/>
        </w:rPr>
        <w:t>数据来源：北京新锦成教育技术有限公司</w:t>
      </w:r>
    </w:p>
    <w:p>
      <w:pPr>
        <w:ind w:firstLine="640"/>
        <w:rPr>
          <w:lang w:val="zh-CN" w:eastAsia="zh-CN"/>
        </w:rPr>
      </w:pPr>
      <w:r>
        <w:rPr>
          <w:rFonts w:hint="eastAsia"/>
          <w:lang w:val="zh-CN" w:eastAsia="zh-CN"/>
        </w:rPr>
        <w:t>本校2022届毕业生离职率（21.37%</w:t>
      </w:r>
      <w:r>
        <w:rPr>
          <w:lang w:val="zh-CN" w:eastAsia="zh-CN"/>
        </w:rPr>
        <w:t>）</w:t>
      </w:r>
      <w:r>
        <w:rPr>
          <w:rFonts w:hint="eastAsia"/>
          <w:lang w:val="zh-CN" w:eastAsia="zh-CN"/>
        </w:rPr>
        <w:t>比全国高校2022届毕业生离职率（</w:t>
      </w:r>
      <w:r>
        <w:rPr>
          <w:lang w:val="zh-CN" w:eastAsia="zh-CN"/>
        </w:rPr>
        <w:t>17.60%）高</w:t>
      </w:r>
      <w:r>
        <w:rPr>
          <w:rFonts w:hint="eastAsia"/>
          <w:lang w:val="zh-CN" w:eastAsia="zh-CN"/>
        </w:rPr>
        <w:t>3</w:t>
      </w:r>
      <w:r>
        <w:rPr>
          <w:lang w:val="zh-CN" w:eastAsia="zh-CN"/>
        </w:rPr>
        <w:t>.77</w:t>
      </w:r>
      <w:r>
        <w:rPr>
          <w:rFonts w:hint="eastAsia"/>
          <w:lang w:val="zh-CN" w:eastAsia="zh-CN"/>
        </w:rPr>
        <w:t>个百分点。</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4"/>
          <w:szCs w:val="24"/>
          <w:lang w:eastAsia="zh-CN"/>
        </w:rPr>
      </w:pPr>
      <w:r>
        <w:rPr>
          <w:rFonts w:eastAsia="宋体"/>
          <w:snapToGrid/>
          <w:sz w:val="24"/>
          <w:lang w:eastAsia="zh-CN"/>
        </w:rPr>
        <w:drawing>
          <wp:inline distT="0" distB="0" distL="0" distR="0">
            <wp:extent cx="4946650" cy="1847850"/>
            <wp:effectExtent l="0" t="0" r="6350" b="6350"/>
            <wp:docPr id="70" name="图表 9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r>
        <w:rPr>
          <w:rFonts w:hint="eastAsia" w:eastAsia="黑体"/>
          <w:b/>
          <w:sz w:val="21"/>
          <w:lang w:eastAsia="zh-CN"/>
        </w:rPr>
        <w:t>图3.</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18</w:t>
      </w:r>
      <w:r>
        <w:rPr>
          <w:rFonts w:eastAsia="黑体"/>
          <w:b/>
          <w:sz w:val="21"/>
          <w:lang w:eastAsia="zh-CN"/>
        </w:rPr>
        <w:fldChar w:fldCharType="end"/>
      </w:r>
      <w:r>
        <w:rPr>
          <w:rFonts w:eastAsia="黑体"/>
          <w:b/>
          <w:sz w:val="21"/>
          <w:lang w:eastAsia="zh-CN"/>
        </w:rPr>
        <w:t xml:space="preserve">  2022届</w:t>
      </w:r>
      <w:r>
        <w:rPr>
          <w:rFonts w:hint="eastAsia" w:eastAsia="黑体"/>
          <w:b/>
          <w:sz w:val="21"/>
          <w:lang w:eastAsia="zh-CN"/>
        </w:rPr>
        <w:t>毕业生离职率对比分析</w:t>
      </w:r>
    </w:p>
    <w:p>
      <w:pPr>
        <w:rPr>
          <w:snapToGrid/>
          <w:sz w:val="21"/>
          <w:lang w:eastAsia="zh-CN"/>
        </w:rPr>
      </w:pPr>
      <w:r>
        <w:rPr>
          <w:rFonts w:hint="eastAsia" w:ascii="仿宋" w:hAnsi="仿宋"/>
          <w:sz w:val="21"/>
          <w:lang w:eastAsia="zh-CN"/>
        </w:rPr>
        <w:t>数据来源：北京新锦成教育技术有限公司</w:t>
      </w:r>
    </w:p>
    <w:p>
      <w:pPr>
        <w:ind w:firstLine="640"/>
        <w:rPr>
          <w:lang w:val="zh-CN" w:eastAsia="zh-CN"/>
        </w:rPr>
      </w:pPr>
      <w:r>
        <w:rPr>
          <w:rFonts w:hint="eastAsia"/>
          <w:lang w:val="zh-CN" w:eastAsia="zh-CN"/>
        </w:rPr>
        <w:t>离职原因：本校2022届毕业生离职的主要原因是“工资福利较差”等。</w:t>
      </w:r>
    </w:p>
    <w:p>
      <w:pPr>
        <w:pBdr>
          <w:top w:val="none" w:color="000000" w:sz="0" w:space="0"/>
          <w:left w:val="none" w:color="000000" w:sz="0" w:space="0"/>
          <w:bottom w:val="none" w:color="000000" w:sz="0" w:space="0"/>
          <w:right w:val="none" w:color="000000" w:sz="0" w:space="0"/>
          <w:between w:val="none" w:color="000000" w:sz="0" w:space="0"/>
        </w:pBdr>
        <w:spacing w:before="163" w:after="120" w:line="360" w:lineRule="auto"/>
        <w:ind w:firstLine="480"/>
        <w:jc w:val="center"/>
        <w:rPr>
          <w:rFonts w:ascii="Calibri" w:hAnsi="Calibri" w:eastAsia="Calibri" w:cs="宋体"/>
          <w:sz w:val="24"/>
          <w:lang w:eastAsia="zh-CN"/>
        </w:rPr>
      </w:pPr>
      <w:r>
        <w:rPr>
          <w:rFonts w:ascii="Calibri" w:hAnsi="Calibri" w:eastAsia="Calibri" w:cs="宋体"/>
          <w:sz w:val="24"/>
          <w:lang w:eastAsia="zh-CN"/>
        </w:rPr>
        <w:drawing>
          <wp:inline distT="0" distB="0" distL="0" distR="0">
            <wp:extent cx="4984750" cy="1714500"/>
            <wp:effectExtent l="0" t="0" r="6350" b="0"/>
            <wp:docPr id="71"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r>
        <w:rPr>
          <w:rFonts w:hint="eastAsia" w:eastAsia="黑体"/>
          <w:b/>
          <w:sz w:val="21"/>
          <w:lang w:eastAsia="zh-CN"/>
        </w:rPr>
        <w:t>图3.</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19</w:t>
      </w:r>
      <w:r>
        <w:rPr>
          <w:rFonts w:eastAsia="黑体"/>
          <w:b/>
          <w:sz w:val="21"/>
          <w:lang w:eastAsia="zh-CN"/>
        </w:rPr>
        <w:fldChar w:fldCharType="end"/>
      </w:r>
      <w:r>
        <w:rPr>
          <w:rFonts w:hint="eastAsia" w:eastAsia="黑体"/>
          <w:b/>
          <w:sz w:val="21"/>
          <w:lang w:eastAsia="zh-CN"/>
        </w:rPr>
        <w:t xml:space="preserve"> </w:t>
      </w:r>
      <w:r>
        <w:rPr>
          <w:rFonts w:eastAsia="黑体"/>
          <w:b/>
          <w:sz w:val="21"/>
          <w:lang w:eastAsia="zh-CN"/>
        </w:rPr>
        <w:t xml:space="preserve"> </w:t>
      </w:r>
      <w:r>
        <w:rPr>
          <w:rFonts w:hint="eastAsia" w:eastAsia="黑体"/>
          <w:b/>
          <w:sz w:val="21"/>
          <w:lang w:eastAsia="zh-CN"/>
        </w:rPr>
        <w:t>2022届毕业生离职</w:t>
      </w:r>
      <w:r>
        <w:rPr>
          <w:rFonts w:eastAsia="黑体"/>
          <w:b/>
          <w:sz w:val="21"/>
          <w:lang w:eastAsia="zh-CN"/>
        </w:rPr>
        <w:t>原因</w:t>
      </w:r>
      <w:r>
        <w:rPr>
          <w:rFonts w:hint="eastAsia" w:eastAsia="黑体"/>
          <w:b/>
          <w:sz w:val="21"/>
          <w:lang w:eastAsia="zh-CN"/>
        </w:rPr>
        <w:t>分析</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Chars="0"/>
        <w:jc w:val="both"/>
        <w:textAlignment w:val="auto"/>
        <w:rPr>
          <w:rFonts w:ascii="黑体" w:hAnsi="黑体" w:eastAsia="黑体"/>
          <w:snapToGrid/>
          <w:sz w:val="21"/>
          <w:lang w:eastAsia="zh-CN"/>
        </w:rPr>
      </w:pPr>
      <w:r>
        <w:rPr>
          <w:rFonts w:ascii="黑体" w:hAnsi="黑体" w:eastAsia="黑体"/>
          <w:snapToGrid/>
          <w:sz w:val="21"/>
          <w:lang w:eastAsia="zh-CN"/>
        </w:rPr>
        <w:t>注：</w:t>
      </w:r>
      <w:r>
        <w:rPr>
          <w:rFonts w:hint="eastAsia" w:ascii="黑体" w:hAnsi="黑体" w:eastAsia="黑体"/>
          <w:snapToGrid/>
          <w:sz w:val="21"/>
          <w:lang w:eastAsia="zh-CN"/>
        </w:rPr>
        <w:t>该</w:t>
      </w:r>
      <w:r>
        <w:rPr>
          <w:rFonts w:ascii="黑体" w:hAnsi="黑体" w:eastAsia="黑体"/>
          <w:snapToGrid/>
          <w:sz w:val="21"/>
          <w:lang w:eastAsia="zh-CN"/>
        </w:rPr>
        <w:t>题目为多选题，</w:t>
      </w:r>
      <w:r>
        <w:rPr>
          <w:rFonts w:hint="eastAsia" w:ascii="黑体" w:hAnsi="黑体" w:eastAsia="黑体"/>
          <w:snapToGrid/>
          <w:sz w:val="21"/>
          <w:lang w:eastAsia="zh-CN"/>
        </w:rPr>
        <w:t>因此选项</w:t>
      </w:r>
      <w:r>
        <w:rPr>
          <w:rFonts w:ascii="黑体" w:hAnsi="黑体" w:eastAsia="黑体"/>
          <w:snapToGrid/>
          <w:sz w:val="21"/>
          <w:lang w:eastAsia="zh-CN"/>
        </w:rPr>
        <w:t>的</w:t>
      </w:r>
      <w:r>
        <w:rPr>
          <w:rFonts w:hint="eastAsia" w:ascii="黑体" w:hAnsi="黑体" w:eastAsia="黑体"/>
          <w:snapToGrid/>
          <w:sz w:val="21"/>
          <w:lang w:eastAsia="zh-CN"/>
        </w:rPr>
        <w:t>百分比之和</w:t>
      </w:r>
      <w:r>
        <w:rPr>
          <w:rFonts w:hint="eastAsia" w:eastAsia="黑体"/>
          <w:snapToGrid/>
          <w:sz w:val="21"/>
          <w:lang w:eastAsia="zh-CN"/>
        </w:rPr>
        <w:t>不是100.00%</w:t>
      </w:r>
      <w:r>
        <w:rPr>
          <w:rFonts w:ascii="黑体" w:hAnsi="黑体" w:eastAsia="黑体"/>
          <w:snapToGrid/>
          <w:sz w:val="21"/>
          <w:lang w:eastAsia="zh-CN"/>
        </w:rPr>
        <w:t>。</w:t>
      </w:r>
    </w:p>
    <w:p>
      <w:pPr>
        <w:rPr>
          <w:snapToGrid/>
          <w:sz w:val="21"/>
          <w:lang w:eastAsia="zh-CN"/>
        </w:rPr>
      </w:pPr>
      <w:r>
        <w:rPr>
          <w:rFonts w:hint="eastAsia" w:ascii="仿宋" w:hAnsi="仿宋"/>
          <w:sz w:val="21"/>
          <w:lang w:eastAsia="zh-CN"/>
        </w:rPr>
        <w:t>数据来源：北京新锦成教育技术有限公司</w:t>
      </w:r>
    </w:p>
    <w:p>
      <w:pPr>
        <w:pStyle w:val="3"/>
        <w:ind w:firstLine="643"/>
        <w:rPr>
          <w:lang w:val="zh-CN" w:eastAsia="zh-CN"/>
        </w:rPr>
      </w:pPr>
      <w:bookmarkStart w:id="74" w:name="_Toc151887717"/>
      <w:r>
        <w:rPr>
          <w:rFonts w:hint="eastAsia"/>
          <w:lang w:val="zh-CN" w:eastAsia="zh-CN"/>
        </w:rPr>
        <w:t>（一）</w:t>
      </w:r>
      <w:r>
        <w:rPr>
          <w:lang w:val="zh-CN" w:eastAsia="zh-CN"/>
        </w:rPr>
        <w:t>各</w:t>
      </w:r>
      <w:r>
        <w:rPr>
          <w:rFonts w:hint="eastAsia"/>
          <w:lang w:val="zh-CN" w:eastAsia="zh-CN"/>
        </w:rPr>
        <w:t>学院工作稳定度</w:t>
      </w:r>
      <w:bookmarkEnd w:id="74"/>
    </w:p>
    <w:p>
      <w:pPr>
        <w:ind w:firstLine="640"/>
        <w:rPr>
          <w:lang w:val="zh-CN" w:eastAsia="zh-CN"/>
        </w:rPr>
      </w:pPr>
      <w:r>
        <w:rPr>
          <w:rFonts w:hint="eastAsia"/>
          <w:lang w:val="zh-CN" w:eastAsia="zh-CN"/>
        </w:rPr>
        <w:t>各学院工作稳定度：毕业至今</w:t>
      </w:r>
      <w:r>
        <w:rPr>
          <w:lang w:val="zh-CN" w:eastAsia="zh-CN"/>
        </w:rPr>
        <w:t>，</w:t>
      </w:r>
      <w:r>
        <w:rPr>
          <w:rFonts w:hint="eastAsia"/>
          <w:lang w:val="zh-CN" w:eastAsia="zh-CN"/>
        </w:rPr>
        <w:t>“国际护理学院”的毕业生工作稳定度相对较高，为</w:t>
      </w:r>
      <w:r>
        <w:rPr>
          <w:lang w:val="zh-CN" w:eastAsia="zh-CN"/>
        </w:rPr>
        <w:t>90.00</w:t>
      </w:r>
      <w:r>
        <w:rPr>
          <w:rFonts w:hint="eastAsia"/>
          <w:lang w:val="zh-CN" w:eastAsia="zh-CN"/>
        </w:rPr>
        <w:t>%；而“机电工程学院”的毕业生离职率相对较高，为37.50%。</w:t>
      </w:r>
    </w:p>
    <w:p>
      <w:pPr>
        <w:pBdr>
          <w:top w:val="none" w:color="000000" w:sz="0" w:space="0"/>
          <w:left w:val="none" w:color="000000" w:sz="0" w:space="0"/>
          <w:bottom w:val="none" w:color="000000" w:sz="0" w:space="0"/>
          <w:right w:val="none" w:color="000000" w:sz="0" w:space="0"/>
          <w:between w:val="none" w:color="000000" w:sz="0" w:space="0"/>
        </w:pBdr>
        <w:spacing w:line="360" w:lineRule="auto"/>
        <w:ind w:firstLine="480"/>
        <w:jc w:val="both"/>
        <w:rPr>
          <w:rFonts w:eastAsia="Calibri" w:cs="宋体"/>
          <w:sz w:val="24"/>
          <w:lang w:eastAsia="zh-CN"/>
        </w:rPr>
      </w:pPr>
      <w:r>
        <w:rPr>
          <w:rFonts w:eastAsia="Calibri" w:cs="宋体"/>
          <w:sz w:val="24"/>
          <w:lang w:eastAsia="zh-CN"/>
        </w:rPr>
        <w:drawing>
          <wp:inline distT="0" distB="0" distL="0" distR="0">
            <wp:extent cx="5581650" cy="2733675"/>
            <wp:effectExtent l="0" t="0" r="6350" b="9525"/>
            <wp:docPr id="72" name="图表 9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r>
        <w:rPr>
          <w:rFonts w:hint="eastAsia" w:eastAsia="黑体"/>
          <w:b/>
          <w:sz w:val="21"/>
          <w:lang w:eastAsia="zh-CN"/>
        </w:rPr>
        <w:t>图3.</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20</w:t>
      </w:r>
      <w:r>
        <w:rPr>
          <w:rFonts w:eastAsia="黑体"/>
          <w:b/>
          <w:sz w:val="21"/>
          <w:lang w:eastAsia="zh-CN"/>
        </w:rPr>
        <w:fldChar w:fldCharType="end"/>
      </w:r>
      <w:r>
        <w:rPr>
          <w:rFonts w:hint="eastAsia" w:eastAsia="黑体"/>
          <w:b/>
          <w:sz w:val="21"/>
          <w:lang w:eastAsia="zh-CN"/>
        </w:rPr>
        <w:t xml:space="preserve">  </w:t>
      </w:r>
      <w:r>
        <w:rPr>
          <w:rFonts w:eastAsia="黑体"/>
          <w:b/>
          <w:sz w:val="21"/>
          <w:lang w:eastAsia="zh-CN"/>
        </w:rPr>
        <w:t>各</w:t>
      </w:r>
      <w:r>
        <w:rPr>
          <w:rFonts w:hint="eastAsia" w:eastAsia="黑体"/>
          <w:b/>
          <w:sz w:val="21"/>
          <w:lang w:eastAsia="zh-CN"/>
        </w:rPr>
        <w:t>学院毕业生工作稳定度</w:t>
      </w:r>
    </w:p>
    <w:p>
      <w:pPr>
        <w:pBdr>
          <w:top w:val="none" w:color="000000" w:sz="0" w:space="0"/>
          <w:left w:val="none" w:color="000000" w:sz="0" w:space="0"/>
          <w:bottom w:val="none" w:color="000000" w:sz="0" w:space="0"/>
          <w:right w:val="none" w:color="000000" w:sz="0" w:space="0"/>
          <w:between w:val="none" w:color="000000" w:sz="0" w:space="0"/>
        </w:pBdr>
        <w:spacing w:line="240" w:lineRule="auto"/>
        <w:jc w:val="both"/>
        <w:rPr>
          <w:rFonts w:ascii="黑体" w:hAnsi="黑体" w:eastAsia="黑体" w:cs="宋体"/>
          <w:sz w:val="21"/>
          <w:lang w:eastAsia="zh-CN"/>
        </w:rPr>
      </w:pPr>
      <w:r>
        <w:rPr>
          <w:rFonts w:hint="eastAsia" w:ascii="黑体" w:hAnsi="黑体" w:eastAsia="黑体" w:cs="宋体"/>
          <w:sz w:val="21"/>
          <w:lang w:eastAsia="zh-CN"/>
        </w:rPr>
        <w:t>注</w:t>
      </w:r>
      <w:r>
        <w:rPr>
          <w:rFonts w:ascii="黑体" w:hAnsi="黑体" w:eastAsia="黑体" w:cs="宋体"/>
          <w:sz w:val="21"/>
          <w:lang w:eastAsia="zh-CN"/>
        </w:rPr>
        <w:t>：</w:t>
      </w:r>
      <w:r>
        <w:rPr>
          <w:rFonts w:hint="eastAsia" w:ascii="黑体" w:hAnsi="黑体" w:eastAsia="黑体" w:cs="宋体"/>
          <w:sz w:val="21"/>
          <w:lang w:eastAsia="zh-CN"/>
        </w:rPr>
        <w:t>*学院样本量较小，其分析结果仅供参考，不纳入到报告结论的分析范畴。</w:t>
      </w:r>
    </w:p>
    <w:p>
      <w:pPr>
        <w:rPr>
          <w:snapToGrid/>
          <w:sz w:val="21"/>
          <w:lang w:eastAsia="zh-CN"/>
        </w:rPr>
      </w:pPr>
      <w:r>
        <w:rPr>
          <w:rFonts w:hint="eastAsia" w:ascii="仿宋" w:hAnsi="仿宋"/>
          <w:sz w:val="21"/>
          <w:lang w:eastAsia="zh-CN"/>
        </w:rPr>
        <w:t>数据来源：北京新锦成教育技术有限公司</w:t>
      </w:r>
    </w:p>
    <w:p>
      <w:pPr>
        <w:pStyle w:val="3"/>
        <w:ind w:firstLine="643"/>
        <w:rPr>
          <w:lang w:val="zh-CN" w:eastAsia="zh-CN"/>
        </w:rPr>
      </w:pPr>
      <w:bookmarkStart w:id="75" w:name="_Toc151887718"/>
      <w:r>
        <w:rPr>
          <w:rFonts w:hint="eastAsia"/>
          <w:lang w:val="zh-CN" w:eastAsia="zh-CN"/>
        </w:rPr>
        <w:t>（二）</w:t>
      </w:r>
      <w:r>
        <w:rPr>
          <w:lang w:val="zh-CN" w:eastAsia="zh-CN"/>
        </w:rPr>
        <w:t>各</w:t>
      </w:r>
      <w:r>
        <w:rPr>
          <w:rFonts w:hint="eastAsia"/>
          <w:lang w:val="zh-CN" w:eastAsia="zh-CN"/>
        </w:rPr>
        <w:t>专业工作稳定度</w:t>
      </w:r>
      <w:bookmarkEnd w:id="75"/>
    </w:p>
    <w:p>
      <w:pPr>
        <w:ind w:firstLine="640"/>
        <w:rPr>
          <w:lang w:val="zh-CN" w:eastAsia="zh-CN"/>
        </w:rPr>
      </w:pPr>
      <w:r>
        <w:rPr>
          <w:rFonts w:hint="eastAsia"/>
          <w:lang w:val="zh-CN" w:eastAsia="zh-CN"/>
        </w:rPr>
        <w:t>各</w:t>
      </w:r>
      <w:r>
        <w:rPr>
          <w:lang w:val="zh-CN" w:eastAsia="zh-CN"/>
        </w:rPr>
        <w:t>专业</w:t>
      </w:r>
      <w:r>
        <w:rPr>
          <w:rFonts w:hint="eastAsia"/>
          <w:lang w:val="zh-CN" w:eastAsia="zh-CN"/>
        </w:rPr>
        <w:t>工作</w:t>
      </w:r>
      <w:r>
        <w:rPr>
          <w:lang w:val="zh-CN" w:eastAsia="zh-CN"/>
        </w:rPr>
        <w:t>稳定</w:t>
      </w:r>
      <w:r>
        <w:rPr>
          <w:rFonts w:hint="eastAsia"/>
          <w:lang w:val="zh-CN" w:eastAsia="zh-CN"/>
        </w:rPr>
        <w:t>度</w:t>
      </w:r>
      <w:r>
        <w:rPr>
          <w:lang w:val="zh-CN" w:eastAsia="zh-CN"/>
        </w:rPr>
        <w:t>：</w:t>
      </w:r>
      <w:r>
        <w:rPr>
          <w:rFonts w:hint="eastAsia"/>
          <w:lang w:val="zh-CN" w:eastAsia="zh-CN"/>
        </w:rPr>
        <w:t>毕业至今</w:t>
      </w:r>
      <w:r>
        <w:rPr>
          <w:lang w:val="zh-CN" w:eastAsia="zh-CN"/>
        </w:rPr>
        <w:t>，</w:t>
      </w:r>
      <w:r>
        <w:rPr>
          <w:rFonts w:hint="eastAsia"/>
          <w:lang w:val="zh-CN" w:eastAsia="zh-CN"/>
        </w:rPr>
        <w:t>“护理”“制药工程”“土木工程”</w:t>
      </w:r>
      <w:r>
        <w:rPr>
          <w:lang w:val="zh-CN" w:eastAsia="zh-CN"/>
        </w:rPr>
        <w:t>专业</w:t>
      </w:r>
      <w:r>
        <w:rPr>
          <w:rFonts w:hint="eastAsia"/>
          <w:lang w:val="zh-CN" w:eastAsia="zh-CN"/>
        </w:rPr>
        <w:t>的毕业生工作</w:t>
      </w:r>
      <w:r>
        <w:rPr>
          <w:lang w:val="zh-CN" w:eastAsia="zh-CN"/>
        </w:rPr>
        <w:t>稳定</w:t>
      </w:r>
      <w:r>
        <w:rPr>
          <w:rFonts w:hint="eastAsia"/>
          <w:lang w:val="zh-CN" w:eastAsia="zh-CN"/>
        </w:rPr>
        <w:t>度</w:t>
      </w:r>
      <w:r>
        <w:rPr>
          <w:lang w:val="zh-CN" w:eastAsia="zh-CN"/>
        </w:rPr>
        <w:t>相对较好，</w:t>
      </w:r>
      <w:r>
        <w:rPr>
          <w:rFonts w:hint="eastAsia"/>
          <w:lang w:val="zh-CN" w:eastAsia="zh-CN"/>
        </w:rPr>
        <w:t>72.22%及以上</w:t>
      </w:r>
      <w:r>
        <w:rPr>
          <w:lang w:val="zh-CN" w:eastAsia="zh-CN"/>
        </w:rPr>
        <w:t>的</w:t>
      </w:r>
      <w:r>
        <w:rPr>
          <w:rFonts w:hint="eastAsia"/>
          <w:lang w:val="zh-CN" w:eastAsia="zh-CN"/>
        </w:rPr>
        <w:t>毕业生</w:t>
      </w:r>
      <w:r>
        <w:rPr>
          <w:lang w:val="zh-CN" w:eastAsia="zh-CN"/>
        </w:rPr>
        <w:t>均</w:t>
      </w:r>
      <w:r>
        <w:rPr>
          <w:rFonts w:hint="eastAsia"/>
          <w:lang w:val="zh-CN" w:eastAsia="zh-CN"/>
        </w:rPr>
        <w:t>未曾</w:t>
      </w:r>
      <w:r>
        <w:rPr>
          <w:lang w:val="zh-CN" w:eastAsia="zh-CN"/>
        </w:rPr>
        <w:t>离职；而</w:t>
      </w:r>
      <w:r>
        <w:rPr>
          <w:rFonts w:hint="eastAsia"/>
          <w:lang w:val="zh-CN" w:eastAsia="zh-CN"/>
        </w:rPr>
        <w:t>“物联网工程”</w:t>
      </w:r>
      <w:r>
        <w:rPr>
          <w:lang w:val="zh-CN" w:eastAsia="zh-CN"/>
        </w:rPr>
        <w:t>专业</w:t>
      </w:r>
      <w:r>
        <w:rPr>
          <w:rFonts w:hint="eastAsia"/>
          <w:lang w:val="zh-CN" w:eastAsia="zh-CN"/>
        </w:rPr>
        <w:t>的毕业生</w:t>
      </w:r>
      <w:r>
        <w:rPr>
          <w:lang w:val="zh-CN" w:eastAsia="zh-CN"/>
        </w:rPr>
        <w:t>稳定</w:t>
      </w:r>
      <w:r>
        <w:rPr>
          <w:rFonts w:hint="eastAsia"/>
          <w:lang w:val="zh-CN" w:eastAsia="zh-CN"/>
        </w:rPr>
        <w:t>度</w:t>
      </w:r>
      <w:r>
        <w:rPr>
          <w:lang w:val="zh-CN" w:eastAsia="zh-CN"/>
        </w:rPr>
        <w:t>相对较差，62.50%的</w:t>
      </w:r>
      <w:r>
        <w:rPr>
          <w:rFonts w:hint="eastAsia"/>
          <w:lang w:val="zh-CN" w:eastAsia="zh-CN"/>
        </w:rPr>
        <w:t>毕业生有</w:t>
      </w:r>
      <w:r>
        <w:rPr>
          <w:lang w:val="zh-CN" w:eastAsia="zh-CN"/>
        </w:rPr>
        <w:t>过离职</w:t>
      </w:r>
      <w:r>
        <w:rPr>
          <w:rFonts w:hint="eastAsia"/>
          <w:lang w:val="zh-CN" w:eastAsia="zh-CN"/>
        </w:rPr>
        <w:t>经历</w:t>
      </w:r>
      <w:r>
        <w:rPr>
          <w:lang w:val="zh-CN" w:eastAsia="zh-CN"/>
        </w:rPr>
        <w:t>。</w:t>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r>
        <w:rPr>
          <w:rFonts w:hint="eastAsia" w:eastAsia="黑体"/>
          <w:b/>
          <w:sz w:val="21"/>
          <w:lang w:eastAsia="zh-CN"/>
        </w:rPr>
        <w:t xml:space="preserve">表3. </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表1-2-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14</w:t>
      </w:r>
      <w:r>
        <w:rPr>
          <w:rFonts w:eastAsia="黑体"/>
          <w:b/>
          <w:sz w:val="21"/>
          <w:lang w:eastAsia="zh-CN"/>
        </w:rPr>
        <w:fldChar w:fldCharType="end"/>
      </w:r>
      <w:r>
        <w:rPr>
          <w:rFonts w:eastAsia="黑体"/>
          <w:b/>
          <w:sz w:val="21"/>
          <w:lang w:eastAsia="zh-CN"/>
        </w:rPr>
        <w:t xml:space="preserve">  2022届</w:t>
      </w:r>
      <w:r>
        <w:rPr>
          <w:rFonts w:hint="eastAsia" w:eastAsia="黑体"/>
          <w:b/>
          <w:sz w:val="21"/>
          <w:lang w:eastAsia="zh-CN"/>
        </w:rPr>
        <w:t>各专业毕业生工作稳定度分布</w:t>
      </w:r>
    </w:p>
    <w:tbl>
      <w:tblPr>
        <w:tblStyle w:val="37"/>
        <w:tblW w:w="8656" w:type="dxa"/>
        <w:jc w:val="cente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fixed"/>
        <w:tblCellMar>
          <w:top w:w="0" w:type="dxa"/>
          <w:left w:w="108" w:type="dxa"/>
          <w:bottom w:w="0" w:type="dxa"/>
          <w:right w:w="108" w:type="dxa"/>
        </w:tblCellMar>
      </w:tblPr>
      <w:tblGrid>
        <w:gridCol w:w="4595"/>
        <w:gridCol w:w="2166"/>
        <w:gridCol w:w="1895"/>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jc w:val="center"/>
        </w:trPr>
        <w:tc>
          <w:tcPr>
            <w:tcW w:w="4595" w:type="dxa"/>
            <w:tcBorders>
              <w:top w:val="single" w:color="0F6FC6" w:sz="4" w:space="0"/>
              <w:left w:val="single" w:color="0F6FC6" w:sz="4" w:space="0"/>
              <w:bottom w:val="single" w:color="0F6FC6" w:sz="4" w:space="0"/>
              <w:right w:val="nil"/>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ascii="宋体" w:hAnsi="宋体" w:eastAsia="宋体"/>
                <w:b/>
                <w:bCs/>
                <w:snapToGrid/>
                <w:color w:val="CCE8CF"/>
                <w:sz w:val="21"/>
                <w:lang w:eastAsia="zh-CN"/>
              </w:rPr>
              <w:t>专业</w:t>
            </w:r>
          </w:p>
        </w:tc>
        <w:tc>
          <w:tcPr>
            <w:tcW w:w="2166" w:type="dxa"/>
            <w:tcBorders>
              <w:top w:val="single" w:color="0F6FC6" w:sz="4" w:space="0"/>
              <w:bottom w:val="single" w:color="0F6FC6" w:sz="4" w:space="0"/>
              <w:right w:val="nil"/>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ascii="宋体" w:hAnsi="宋体" w:eastAsia="宋体"/>
                <w:b/>
                <w:bCs/>
                <w:snapToGrid/>
                <w:color w:val="CCE8CF"/>
                <w:sz w:val="21"/>
                <w:lang w:eastAsia="zh-CN"/>
              </w:rPr>
              <w:t>稳定度</w:t>
            </w:r>
          </w:p>
        </w:tc>
        <w:tc>
          <w:tcPr>
            <w:tcW w:w="1895" w:type="dxa"/>
            <w:tcBorders>
              <w:top w:val="single" w:color="0F6FC6" w:sz="4" w:space="0"/>
              <w:bottom w:val="single" w:color="0F6FC6" w:sz="4" w:space="0"/>
              <w:right w:val="single" w:color="0F6FC6"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ascii="宋体" w:hAnsi="宋体" w:eastAsia="宋体"/>
                <w:b/>
                <w:bCs/>
                <w:snapToGrid/>
                <w:color w:val="CCE8CF"/>
                <w:sz w:val="21"/>
                <w:lang w:eastAsia="zh-CN"/>
              </w:rPr>
              <w:t>离职率</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护理</w:t>
            </w:r>
          </w:p>
        </w:tc>
        <w:tc>
          <w:tcPr>
            <w:tcW w:w="2166"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90.00%</w:t>
            </w:r>
          </w:p>
        </w:tc>
        <w:tc>
          <w:tcPr>
            <w:tcW w:w="18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制药工程</w:t>
            </w:r>
          </w:p>
        </w:tc>
        <w:tc>
          <w:tcPr>
            <w:tcW w:w="2166"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75.00%</w:t>
            </w:r>
          </w:p>
        </w:tc>
        <w:tc>
          <w:tcPr>
            <w:tcW w:w="18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25.00%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土木工程</w:t>
            </w:r>
          </w:p>
        </w:tc>
        <w:tc>
          <w:tcPr>
            <w:tcW w:w="2166"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72.22%</w:t>
            </w:r>
          </w:p>
        </w:tc>
        <w:tc>
          <w:tcPr>
            <w:tcW w:w="18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27.78%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机械设计制造类</w:t>
            </w:r>
          </w:p>
        </w:tc>
        <w:tc>
          <w:tcPr>
            <w:tcW w:w="2166"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62.50%</w:t>
            </w:r>
          </w:p>
        </w:tc>
        <w:tc>
          <w:tcPr>
            <w:tcW w:w="18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37.50%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物联网工程</w:t>
            </w:r>
          </w:p>
        </w:tc>
        <w:tc>
          <w:tcPr>
            <w:tcW w:w="2166"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37.50%</w:t>
            </w:r>
          </w:p>
        </w:tc>
        <w:tc>
          <w:tcPr>
            <w:tcW w:w="18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62.50%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大数据技术与应用</w:t>
            </w:r>
          </w:p>
        </w:tc>
        <w:tc>
          <w:tcPr>
            <w:tcW w:w="2166"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*100.00%</w:t>
            </w:r>
          </w:p>
        </w:tc>
        <w:tc>
          <w:tcPr>
            <w:tcW w:w="18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水路运输与海事管理</w:t>
            </w:r>
          </w:p>
        </w:tc>
        <w:tc>
          <w:tcPr>
            <w:tcW w:w="2166"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*100.00%</w:t>
            </w:r>
          </w:p>
        </w:tc>
        <w:tc>
          <w:tcPr>
            <w:tcW w:w="18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健康服务与管理</w:t>
            </w:r>
          </w:p>
        </w:tc>
        <w:tc>
          <w:tcPr>
            <w:tcW w:w="2166"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*87.50%</w:t>
            </w:r>
          </w:p>
        </w:tc>
        <w:tc>
          <w:tcPr>
            <w:tcW w:w="18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*12.50%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化学工程与工艺</w:t>
            </w:r>
          </w:p>
        </w:tc>
        <w:tc>
          <w:tcPr>
            <w:tcW w:w="2166"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*50.00%</w:t>
            </w:r>
          </w:p>
        </w:tc>
        <w:tc>
          <w:tcPr>
            <w:tcW w:w="18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*50.00%</w:t>
            </w:r>
          </w:p>
        </w:tc>
      </w:tr>
    </w:tbl>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Chars="0"/>
        <w:jc w:val="both"/>
        <w:textAlignment w:val="auto"/>
        <w:rPr>
          <w:rFonts w:ascii="黑体" w:hAnsi="黑体" w:eastAsia="黑体"/>
          <w:snapToGrid/>
          <w:sz w:val="21"/>
          <w:lang w:eastAsia="zh-CN"/>
        </w:rPr>
      </w:pPr>
      <w:r>
        <w:rPr>
          <w:rFonts w:hint="eastAsia" w:ascii="黑体" w:hAnsi="黑体" w:eastAsia="黑体"/>
          <w:snapToGrid/>
          <w:sz w:val="21"/>
          <w:lang w:eastAsia="zh-CN"/>
        </w:rPr>
        <w:t>注：*</w:t>
      </w:r>
      <w:r>
        <w:rPr>
          <w:rFonts w:ascii="黑体" w:hAnsi="黑体" w:eastAsia="黑体"/>
          <w:snapToGrid/>
          <w:sz w:val="21"/>
          <w:lang w:eastAsia="zh-CN"/>
        </w:rPr>
        <w:t>专业</w:t>
      </w:r>
      <w:r>
        <w:rPr>
          <w:rFonts w:hint="eastAsia" w:ascii="黑体" w:hAnsi="黑体" w:eastAsia="黑体"/>
          <w:snapToGrid/>
          <w:sz w:val="21"/>
          <w:lang w:eastAsia="zh-CN"/>
        </w:rPr>
        <w:t>样本量较小，其分析结果仅供参考，不纳入到报告结论的分析范围。</w:t>
      </w:r>
    </w:p>
    <w:p>
      <w:pPr>
        <w:rPr>
          <w:snapToGrid/>
          <w:sz w:val="21"/>
          <w:lang w:eastAsia="zh-CN"/>
        </w:rPr>
      </w:pPr>
      <w:r>
        <w:rPr>
          <w:rFonts w:hint="eastAsia" w:ascii="仿宋" w:hAnsi="仿宋"/>
          <w:sz w:val="21"/>
          <w:lang w:eastAsia="zh-CN"/>
        </w:rPr>
        <w:t>数据来源：北京新锦成教育技术有限公司</w:t>
      </w:r>
    </w:p>
    <w:p>
      <w:pPr>
        <w:pageBreakBefore/>
        <w:pBdr>
          <w:top w:val="none" w:color="000000" w:sz="0" w:space="0"/>
          <w:left w:val="none" w:color="000000" w:sz="0" w:space="0"/>
          <w:bottom w:val="none" w:color="000000" w:sz="0" w:space="0"/>
          <w:right w:val="none" w:color="000000" w:sz="0" w:space="0"/>
          <w:between w:val="none" w:color="000000" w:sz="0" w:space="0"/>
        </w:pBdr>
        <w:spacing w:before="652" w:after="652" w:line="400" w:lineRule="exact"/>
        <w:ind w:firstLine="643"/>
        <w:jc w:val="center"/>
        <w:outlineLvl w:val="1"/>
        <w:rPr>
          <w:rFonts w:eastAsia="黑体"/>
          <w:b/>
          <w:bCs/>
          <w:szCs w:val="32"/>
          <w:lang w:eastAsia="zh-CN"/>
        </w:rPr>
      </w:pPr>
      <w:bookmarkStart w:id="76" w:name="_Toc151887719"/>
      <w:r>
        <w:rPr>
          <w:rFonts w:hint="eastAsia" w:eastAsia="黑体"/>
          <w:b/>
          <w:bCs/>
          <w:szCs w:val="32"/>
          <w:lang w:eastAsia="zh-CN"/>
        </w:rPr>
        <w:t xml:space="preserve">第二章 </w:t>
      </w:r>
      <w:r>
        <w:rPr>
          <w:rFonts w:eastAsia="黑体"/>
          <w:b/>
          <w:bCs/>
          <w:szCs w:val="32"/>
          <w:lang w:eastAsia="zh-CN"/>
        </w:rPr>
        <w:t xml:space="preserve"> </w:t>
      </w:r>
      <w:r>
        <w:rPr>
          <w:rFonts w:hint="eastAsia" w:eastAsia="黑体"/>
          <w:b/>
          <w:bCs/>
          <w:szCs w:val="32"/>
          <w:lang w:eastAsia="zh-CN"/>
        </w:rPr>
        <w:t>就业</w:t>
      </w:r>
      <w:r>
        <w:rPr>
          <w:rFonts w:eastAsia="黑体"/>
          <w:b/>
          <w:bCs/>
          <w:szCs w:val="32"/>
          <w:lang w:eastAsia="zh-CN"/>
        </w:rPr>
        <w:t>特色</w:t>
      </w:r>
      <w:r>
        <w:rPr>
          <w:rFonts w:hint="eastAsia" w:eastAsia="黑体"/>
          <w:b/>
          <w:bCs/>
          <w:szCs w:val="32"/>
          <w:lang w:eastAsia="zh-CN"/>
        </w:rPr>
        <w:t>分析</w:t>
      </w:r>
      <w:bookmarkEnd w:id="76"/>
    </w:p>
    <w:p>
      <w:pPr>
        <w:ind w:firstLine="640"/>
        <w:rPr>
          <w:lang w:val="zh-CN" w:eastAsia="zh-CN"/>
        </w:rPr>
      </w:pPr>
      <w:r>
        <w:rPr>
          <w:lang w:val="zh-CN" w:eastAsia="zh-CN"/>
        </w:rPr>
        <w:t>针对毕业去向为</w:t>
      </w:r>
      <w:r>
        <w:rPr>
          <w:rFonts w:hint="eastAsia"/>
          <w:lang w:val="zh-CN" w:eastAsia="zh-CN"/>
        </w:rPr>
        <w:t>“</w:t>
      </w:r>
      <w:r>
        <w:rPr>
          <w:lang w:val="zh-CN" w:eastAsia="zh-CN"/>
        </w:rPr>
        <w:t>国内工作</w:t>
      </w:r>
      <w:r>
        <w:rPr>
          <w:rFonts w:hint="eastAsia"/>
          <w:lang w:val="zh-CN" w:eastAsia="zh-CN"/>
        </w:rPr>
        <w:t>”</w:t>
      </w:r>
      <w:r>
        <w:rPr>
          <w:lang w:val="zh-CN" w:eastAsia="zh-CN"/>
        </w:rPr>
        <w:t>的</w:t>
      </w:r>
      <w:r>
        <w:rPr>
          <w:rFonts w:hint="eastAsia"/>
          <w:lang w:val="zh-CN" w:eastAsia="zh-CN"/>
        </w:rPr>
        <w:t>毕业生</w:t>
      </w:r>
      <w:r>
        <w:rPr>
          <w:lang w:val="zh-CN" w:eastAsia="zh-CN"/>
        </w:rPr>
        <w:t>进一步调查分析其就业</w:t>
      </w:r>
      <w:r>
        <w:rPr>
          <w:rFonts w:hint="eastAsia"/>
          <w:lang w:val="zh-CN" w:eastAsia="zh-CN"/>
        </w:rPr>
        <w:t>地区</w:t>
      </w:r>
      <w:r>
        <w:rPr>
          <w:lang w:val="zh-CN" w:eastAsia="zh-CN"/>
        </w:rPr>
        <w:t>、就业行业、就业职业和就业单位分布；具体内容如下所示。</w:t>
      </w:r>
    </w:p>
    <w:p>
      <w:pPr>
        <w:pStyle w:val="2"/>
        <w:ind w:firstLine="640"/>
        <w:rPr>
          <w:lang w:eastAsia="zh-CN"/>
        </w:rPr>
      </w:pPr>
      <w:bookmarkStart w:id="77" w:name="_Toc151887720"/>
      <w:r>
        <w:rPr>
          <w:rFonts w:hint="eastAsia"/>
          <w:lang w:eastAsia="zh-CN"/>
        </w:rPr>
        <w:t>一</w:t>
      </w:r>
      <w:r>
        <w:rPr>
          <w:lang w:eastAsia="zh-CN"/>
        </w:rPr>
        <w:t>、就业</w:t>
      </w:r>
      <w:r>
        <w:rPr>
          <w:rFonts w:hint="eastAsia"/>
          <w:lang w:eastAsia="zh-CN"/>
        </w:rPr>
        <w:t>地区</w:t>
      </w:r>
      <w:r>
        <w:rPr>
          <w:lang w:eastAsia="zh-CN"/>
        </w:rPr>
        <w:t>特色</w:t>
      </w:r>
      <w:bookmarkEnd w:id="77"/>
    </w:p>
    <w:p>
      <w:pPr>
        <w:ind w:firstLine="640"/>
        <w:rPr>
          <w:lang w:val="zh-CN" w:eastAsia="zh-CN"/>
        </w:rPr>
      </w:pPr>
      <w:r>
        <w:rPr>
          <w:rFonts w:hint="eastAsia"/>
          <w:lang w:val="zh-CN" w:eastAsia="zh-CN"/>
        </w:rPr>
        <w:t>就业</w:t>
      </w:r>
      <w:r>
        <w:rPr>
          <w:lang w:val="zh-CN" w:eastAsia="zh-CN"/>
        </w:rPr>
        <w:t>省</w:t>
      </w:r>
      <w:r>
        <w:rPr>
          <w:rFonts w:hint="eastAsia"/>
          <w:lang w:val="zh-CN" w:eastAsia="zh-CN"/>
        </w:rPr>
        <w:t>份</w:t>
      </w:r>
      <w:r>
        <w:rPr>
          <w:lang w:eastAsia="zh-CN"/>
        </w:rPr>
        <w:t>：</w:t>
      </w:r>
      <w:r>
        <w:rPr>
          <w:rFonts w:hint="eastAsia"/>
          <w:lang w:eastAsia="zh-CN"/>
        </w:rPr>
        <w:t>2022届毕业生</w:t>
      </w:r>
      <w:r>
        <w:rPr>
          <w:rFonts w:hint="eastAsia"/>
          <w:lang w:val="zh-CN" w:eastAsia="zh-CN"/>
        </w:rPr>
        <w:t>中</w:t>
      </w:r>
      <w:r>
        <w:rPr>
          <w:rFonts w:hint="eastAsia"/>
          <w:lang w:eastAsia="zh-CN"/>
        </w:rPr>
        <w:t>，</w:t>
      </w:r>
      <w:r>
        <w:rPr>
          <w:rFonts w:hint="eastAsia"/>
          <w:lang w:val="zh-CN" w:eastAsia="zh-CN"/>
        </w:rPr>
        <w:t>省内就业毕业生占比</w:t>
      </w:r>
      <w:r>
        <w:rPr>
          <w:rFonts w:hint="eastAsia"/>
          <w:lang w:eastAsia="zh-CN"/>
        </w:rPr>
        <w:t>61.74%，38.26%</w:t>
      </w:r>
      <w:r>
        <w:rPr>
          <w:rFonts w:hint="eastAsia"/>
          <w:lang w:val="zh-CN" w:eastAsia="zh-CN"/>
        </w:rPr>
        <w:t>的毕业生在省外就业</w:t>
      </w:r>
      <w:r>
        <w:rPr>
          <w:rFonts w:hint="eastAsia"/>
          <w:lang w:eastAsia="zh-CN"/>
        </w:rPr>
        <w:t>；</w:t>
      </w:r>
      <w:r>
        <w:rPr>
          <w:rFonts w:hint="eastAsia"/>
          <w:lang w:val="zh-CN" w:eastAsia="zh-CN"/>
        </w:rPr>
        <w:t>其中省外就业的毕业生主要流向了</w:t>
      </w:r>
      <w:r>
        <w:rPr>
          <w:rFonts w:hint="eastAsia"/>
          <w:lang w:eastAsia="zh-CN"/>
        </w:rPr>
        <w:t>“广东省”（13.91%）、“广西壮族自治区”（3.48%）、“贵州省”（3.48%）</w:t>
      </w:r>
      <w:r>
        <w:rPr>
          <w:rFonts w:hint="eastAsia"/>
          <w:lang w:val="zh-CN" w:eastAsia="zh-CN"/>
        </w:rPr>
        <w:t>等地区。</w:t>
      </w:r>
    </w:p>
    <w:p>
      <w:pPr>
        <w:pBdr>
          <w:top w:val="none" w:color="000000" w:sz="0" w:space="0"/>
          <w:left w:val="none" w:color="000000" w:sz="0" w:space="0"/>
          <w:bottom w:val="none" w:color="000000" w:sz="0" w:space="0"/>
          <w:right w:val="none" w:color="000000" w:sz="0" w:space="0"/>
          <w:between w:val="none" w:color="000000" w:sz="0" w:space="0"/>
        </w:pBdr>
        <w:spacing w:before="163" w:after="163" w:line="360" w:lineRule="auto"/>
        <w:ind w:firstLine="480"/>
        <w:jc w:val="center"/>
        <w:rPr>
          <w:rFonts w:eastAsia="宋体"/>
          <w:sz w:val="24"/>
          <w:szCs w:val="24"/>
          <w:lang w:val="zh-CN" w:eastAsia="zh-CN"/>
        </w:rPr>
      </w:pPr>
      <w:r>
        <w:rPr>
          <w:rFonts w:eastAsia="宋体"/>
          <w:sz w:val="24"/>
          <w:szCs w:val="24"/>
          <w:lang w:eastAsia="zh-CN"/>
        </w:rPr>
        <w:drawing>
          <wp:inline distT="0" distB="0" distL="0" distR="0">
            <wp:extent cx="4458970" cy="3065145"/>
            <wp:effectExtent l="0" t="0" r="11430" b="8255"/>
            <wp:docPr id="73"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r>
        <w:rPr>
          <w:rFonts w:hint="eastAsia" w:eastAsia="黑体"/>
          <w:b/>
          <w:sz w:val="21"/>
          <w:lang w:eastAsia="zh-CN"/>
        </w:rPr>
        <w:t>图3.</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21</w:t>
      </w:r>
      <w:r>
        <w:rPr>
          <w:rFonts w:eastAsia="黑体"/>
          <w:b/>
          <w:sz w:val="21"/>
          <w:lang w:eastAsia="zh-CN"/>
        </w:rPr>
        <w:fldChar w:fldCharType="end"/>
      </w:r>
      <w:r>
        <w:rPr>
          <w:rFonts w:hint="eastAsia" w:eastAsia="黑体"/>
          <w:b/>
          <w:sz w:val="21"/>
          <w:lang w:eastAsia="zh-CN"/>
        </w:rPr>
        <w:t xml:space="preserve">  2022届毕业生主要就业地区</w:t>
      </w:r>
      <w:r>
        <w:rPr>
          <w:rFonts w:eastAsia="黑体"/>
          <w:b/>
          <w:sz w:val="21"/>
          <w:lang w:eastAsia="zh-CN"/>
        </w:rPr>
        <w:t>分布</w:t>
      </w:r>
      <w:r>
        <w:rPr>
          <w:rFonts w:hint="eastAsia" w:eastAsia="黑体"/>
          <w:b/>
          <w:sz w:val="21"/>
          <w:lang w:eastAsia="zh-CN"/>
        </w:rPr>
        <w:t xml:space="preserve"> </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Chars="0"/>
        <w:jc w:val="both"/>
        <w:textAlignment w:val="auto"/>
        <w:rPr>
          <w:rFonts w:ascii="黑体" w:hAnsi="黑体" w:eastAsia="黑体"/>
          <w:snapToGrid/>
          <w:sz w:val="21"/>
          <w:szCs w:val="24"/>
          <w:lang w:eastAsia="zh-CN"/>
        </w:rPr>
      </w:pPr>
      <w:r>
        <w:rPr>
          <w:rFonts w:hint="eastAsia" w:ascii="黑体" w:hAnsi="黑体" w:eastAsia="黑体"/>
          <w:snapToGrid/>
          <w:sz w:val="21"/>
          <w:szCs w:val="24"/>
          <w:lang w:eastAsia="zh-CN"/>
        </w:rPr>
        <w:t>注：</w:t>
      </w:r>
      <w:r>
        <w:rPr>
          <w:rFonts w:ascii="黑体" w:hAnsi="黑体" w:eastAsia="黑体"/>
          <w:snapToGrid/>
          <w:sz w:val="21"/>
          <w:szCs w:val="24"/>
          <w:lang w:eastAsia="zh-CN"/>
        </w:rPr>
        <w:t>主要就业</w:t>
      </w:r>
      <w:r>
        <w:rPr>
          <w:rFonts w:hint="eastAsia" w:ascii="黑体" w:hAnsi="黑体" w:eastAsia="黑体"/>
          <w:snapToGrid/>
          <w:sz w:val="21"/>
          <w:szCs w:val="24"/>
          <w:lang w:eastAsia="zh-CN"/>
        </w:rPr>
        <w:t>地区</w:t>
      </w:r>
      <w:r>
        <w:rPr>
          <w:rFonts w:ascii="黑体" w:hAnsi="黑体" w:eastAsia="黑体"/>
          <w:snapToGrid/>
          <w:sz w:val="21"/>
          <w:szCs w:val="24"/>
          <w:lang w:eastAsia="zh-CN"/>
        </w:rPr>
        <w:t>指</w:t>
      </w:r>
      <w:r>
        <w:rPr>
          <w:rFonts w:hint="eastAsia" w:ascii="黑体" w:hAnsi="黑体" w:eastAsia="黑体"/>
          <w:snapToGrid/>
          <w:sz w:val="21"/>
          <w:szCs w:val="24"/>
          <w:lang w:eastAsia="zh-CN"/>
        </w:rPr>
        <w:t>就业</w:t>
      </w:r>
      <w:r>
        <w:rPr>
          <w:rFonts w:ascii="黑体" w:hAnsi="黑体" w:eastAsia="黑体"/>
          <w:snapToGrid/>
          <w:sz w:val="21"/>
          <w:szCs w:val="24"/>
          <w:lang w:eastAsia="zh-CN"/>
        </w:rPr>
        <w:t>人数≥</w:t>
      </w:r>
      <w:r>
        <w:rPr>
          <w:rFonts w:eastAsia="黑体"/>
          <w:snapToGrid/>
          <w:sz w:val="21"/>
          <w:szCs w:val="24"/>
          <w:lang w:eastAsia="zh-CN"/>
        </w:rPr>
        <w:t>20</w:t>
      </w:r>
      <w:r>
        <w:rPr>
          <w:rFonts w:ascii="黑体" w:hAnsi="黑体" w:eastAsia="黑体"/>
          <w:snapToGrid/>
          <w:sz w:val="21"/>
          <w:szCs w:val="24"/>
          <w:lang w:eastAsia="zh-CN"/>
        </w:rPr>
        <w:t>人</w:t>
      </w:r>
      <w:r>
        <w:rPr>
          <w:rFonts w:hint="eastAsia" w:ascii="黑体" w:hAnsi="黑体" w:eastAsia="黑体"/>
          <w:snapToGrid/>
          <w:sz w:val="21"/>
          <w:szCs w:val="24"/>
          <w:lang w:eastAsia="zh-CN"/>
        </w:rPr>
        <w:t>的</w:t>
      </w:r>
      <w:r>
        <w:rPr>
          <w:rFonts w:ascii="黑体" w:hAnsi="黑体" w:eastAsia="黑体"/>
          <w:snapToGrid/>
          <w:sz w:val="21"/>
          <w:szCs w:val="24"/>
          <w:lang w:eastAsia="zh-CN"/>
        </w:rPr>
        <w:t>地区。</w:t>
      </w:r>
    </w:p>
    <w:p>
      <w:pPr>
        <w:rPr>
          <w:snapToGrid/>
          <w:sz w:val="21"/>
          <w:lang w:eastAsia="zh-CN"/>
        </w:rPr>
      </w:pPr>
      <w:r>
        <w:rPr>
          <w:rFonts w:hint="eastAsia" w:ascii="仿宋" w:hAnsi="仿宋"/>
          <w:sz w:val="21"/>
          <w:lang w:eastAsia="zh-CN"/>
        </w:rPr>
        <w:t>数据来源：北京新锦成教育技术有限公司</w:t>
      </w:r>
    </w:p>
    <w:p>
      <w:pPr>
        <w:pStyle w:val="25"/>
        <w:rPr>
          <w:lang w:val="en-US"/>
        </w:rPr>
      </w:pPr>
    </w:p>
    <w:p>
      <w:pPr>
        <w:ind w:firstLine="640"/>
        <w:rPr>
          <w:lang w:val="zh-CN" w:eastAsia="zh-CN"/>
        </w:rPr>
      </w:pPr>
      <w:r>
        <w:rPr>
          <w:rFonts w:hint="eastAsia"/>
          <w:lang w:val="zh-CN" w:eastAsia="zh-CN"/>
        </w:rPr>
        <w:t>省内</w:t>
      </w:r>
      <w:r>
        <w:rPr>
          <w:lang w:val="zh-CN" w:eastAsia="zh-CN"/>
        </w:rPr>
        <w:t>就业</w:t>
      </w:r>
      <w:r>
        <w:rPr>
          <w:rFonts w:hint="eastAsia"/>
          <w:lang w:val="zh-CN" w:eastAsia="zh-CN"/>
        </w:rPr>
        <w:t>城市</w:t>
      </w:r>
      <w:r>
        <w:rPr>
          <w:rFonts w:hint="eastAsia"/>
          <w:lang w:eastAsia="zh-CN"/>
        </w:rPr>
        <w:t>：</w:t>
      </w:r>
      <w:r>
        <w:rPr>
          <w:rFonts w:hint="eastAsia"/>
          <w:lang w:val="zh-CN" w:eastAsia="zh-CN"/>
        </w:rPr>
        <w:t>在选择省内就业的毕业生中</w:t>
      </w:r>
      <w:r>
        <w:rPr>
          <w:rFonts w:hint="eastAsia"/>
          <w:lang w:eastAsia="zh-CN"/>
        </w:rPr>
        <w:t>，</w:t>
      </w:r>
      <w:r>
        <w:rPr>
          <w:rFonts w:hint="eastAsia"/>
          <w:lang w:val="zh-CN" w:eastAsia="zh-CN"/>
        </w:rPr>
        <w:t>就业城市以</w:t>
      </w:r>
      <w:r>
        <w:rPr>
          <w:rFonts w:hint="eastAsia"/>
          <w:lang w:eastAsia="zh-CN"/>
        </w:rPr>
        <w:t>“海口市”（70.42%）</w:t>
      </w:r>
      <w:r>
        <w:rPr>
          <w:rFonts w:hint="eastAsia"/>
          <w:lang w:val="zh-CN" w:eastAsia="zh-CN"/>
        </w:rPr>
        <w:t>为主</w:t>
      </w:r>
      <w:r>
        <w:rPr>
          <w:rFonts w:hint="eastAsia"/>
          <w:lang w:eastAsia="zh-CN"/>
        </w:rPr>
        <w:t>，“三亚市”（7.04%）</w:t>
      </w:r>
      <w:r>
        <w:rPr>
          <w:rFonts w:hint="eastAsia"/>
          <w:lang w:val="zh-CN" w:eastAsia="zh-CN"/>
        </w:rPr>
        <w:t>、</w:t>
      </w:r>
      <w:r>
        <w:rPr>
          <w:rFonts w:hint="eastAsia"/>
          <w:lang w:eastAsia="zh-CN"/>
        </w:rPr>
        <w:t>“东方市”（4.23%）</w:t>
      </w:r>
      <w:r>
        <w:rPr>
          <w:rFonts w:hint="eastAsia"/>
          <w:lang w:val="zh-CN" w:eastAsia="zh-CN"/>
        </w:rPr>
        <w:t>次之。</w:t>
      </w:r>
    </w:p>
    <w:p>
      <w:pPr>
        <w:pBdr>
          <w:top w:val="none" w:color="000000" w:sz="0" w:space="0"/>
          <w:left w:val="none" w:color="000000" w:sz="0" w:space="0"/>
          <w:bottom w:val="none" w:color="000000" w:sz="0" w:space="0"/>
          <w:right w:val="none" w:color="000000" w:sz="0" w:space="0"/>
          <w:between w:val="none" w:color="000000" w:sz="0" w:space="0"/>
        </w:pBdr>
        <w:spacing w:before="163" w:after="120" w:line="360" w:lineRule="auto"/>
        <w:ind w:firstLine="480"/>
        <w:jc w:val="center"/>
        <w:rPr>
          <w:rFonts w:eastAsia="Calibri"/>
          <w:color w:val="auto"/>
          <w:sz w:val="21"/>
          <w:lang w:eastAsia="zh-CN"/>
        </w:rPr>
      </w:pPr>
      <w:r>
        <w:rPr>
          <w:rFonts w:ascii="Calibri" w:hAnsi="Calibri" w:eastAsia="Calibri" w:cs="宋体"/>
          <w:sz w:val="24"/>
          <w:lang w:eastAsia="zh-CN"/>
        </w:rPr>
        <w:drawing>
          <wp:inline distT="0" distB="0" distL="0" distR="0">
            <wp:extent cx="4899660" cy="2969895"/>
            <wp:effectExtent l="0" t="0" r="2540" b="1905"/>
            <wp:docPr id="74"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r>
        <w:rPr>
          <w:rFonts w:hint="eastAsia" w:eastAsia="黑体"/>
          <w:b/>
          <w:sz w:val="21"/>
          <w:lang w:eastAsia="zh-CN"/>
        </w:rPr>
        <w:t xml:space="preserve">图1-2- </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22</w:t>
      </w:r>
      <w:r>
        <w:rPr>
          <w:rFonts w:eastAsia="黑体"/>
          <w:b/>
          <w:sz w:val="21"/>
          <w:lang w:eastAsia="zh-CN"/>
        </w:rPr>
        <w:fldChar w:fldCharType="end"/>
      </w:r>
      <w:r>
        <w:rPr>
          <w:rFonts w:hint="eastAsia" w:eastAsia="黑体"/>
          <w:b/>
          <w:sz w:val="21"/>
          <w:lang w:eastAsia="zh-CN"/>
        </w:rPr>
        <w:t xml:space="preserve">  2022届毕业生省内就业</w:t>
      </w:r>
      <w:r>
        <w:rPr>
          <w:rFonts w:eastAsia="黑体"/>
          <w:b/>
          <w:sz w:val="21"/>
          <w:lang w:eastAsia="zh-CN"/>
        </w:rPr>
        <w:t>城市分布</w:t>
      </w:r>
      <w:r>
        <w:rPr>
          <w:rFonts w:hint="eastAsia" w:eastAsia="黑体"/>
          <w:b/>
          <w:sz w:val="21"/>
          <w:lang w:eastAsia="zh-CN"/>
        </w:rPr>
        <w:t xml:space="preserve"> </w:t>
      </w:r>
    </w:p>
    <w:p>
      <w:pPr>
        <w:rPr>
          <w:snapToGrid/>
          <w:sz w:val="21"/>
          <w:lang w:eastAsia="zh-CN"/>
        </w:rPr>
      </w:pPr>
      <w:r>
        <w:rPr>
          <w:rFonts w:hint="eastAsia" w:ascii="仿宋" w:hAnsi="仿宋"/>
          <w:sz w:val="21"/>
          <w:lang w:eastAsia="zh-CN"/>
        </w:rPr>
        <w:t>数据来源：北京新锦成教育技术有限公司</w:t>
      </w:r>
    </w:p>
    <w:p>
      <w:pPr>
        <w:pStyle w:val="3"/>
        <w:ind w:firstLine="643"/>
        <w:rPr>
          <w:lang w:eastAsia="zh-CN"/>
        </w:rPr>
      </w:pPr>
      <w:bookmarkStart w:id="78" w:name="_Toc151887721"/>
      <w:r>
        <w:rPr>
          <w:rFonts w:hint="eastAsia"/>
          <w:lang w:eastAsia="zh-CN"/>
        </w:rPr>
        <w:t>（一）</w:t>
      </w:r>
      <w:r>
        <w:rPr>
          <w:lang w:eastAsia="zh-CN"/>
        </w:rPr>
        <w:t>各</w:t>
      </w:r>
      <w:r>
        <w:rPr>
          <w:rFonts w:hint="eastAsia"/>
          <w:lang w:eastAsia="zh-CN"/>
        </w:rPr>
        <w:t>学院就业地区分布</w:t>
      </w:r>
      <w:bookmarkEnd w:id="78"/>
    </w:p>
    <w:p>
      <w:pPr>
        <w:ind w:firstLine="640"/>
        <w:rPr>
          <w:lang w:val="zh-CN" w:eastAsia="zh-CN"/>
        </w:rPr>
      </w:pPr>
      <w:r>
        <w:rPr>
          <w:rFonts w:hint="eastAsia"/>
          <w:lang w:val="zh-CN" w:eastAsia="zh-CN"/>
        </w:rPr>
        <w:t>各学院主要就业地区分布</w:t>
      </w:r>
      <w:r>
        <w:rPr>
          <w:lang w:val="zh-CN" w:eastAsia="zh-CN"/>
        </w:rPr>
        <w:t>：</w:t>
      </w:r>
      <w:r>
        <w:rPr>
          <w:rFonts w:hint="eastAsia"/>
          <w:lang w:val="zh-CN" w:eastAsia="zh-CN"/>
        </w:rPr>
        <w:t>省内</w:t>
      </w:r>
      <w:r>
        <w:rPr>
          <w:lang w:val="zh-CN" w:eastAsia="zh-CN"/>
        </w:rPr>
        <w:t>就业为</w:t>
      </w:r>
      <w:r>
        <w:rPr>
          <w:rFonts w:hint="eastAsia"/>
          <w:lang w:val="zh-CN" w:eastAsia="zh-CN"/>
        </w:rPr>
        <w:t>各学院毕业生主要地区流向，省内</w:t>
      </w:r>
      <w:r>
        <w:rPr>
          <w:lang w:val="zh-CN" w:eastAsia="zh-CN"/>
        </w:rPr>
        <w:t>主要就业城市分布详见下表。</w:t>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r>
        <w:rPr>
          <w:rFonts w:hint="eastAsia" w:eastAsia="黑体"/>
          <w:b/>
          <w:sz w:val="21"/>
          <w:lang w:eastAsia="zh-CN"/>
        </w:rPr>
        <w:t>表3.</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表1-2-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15</w:t>
      </w:r>
      <w:r>
        <w:rPr>
          <w:rFonts w:eastAsia="黑体"/>
          <w:b/>
          <w:sz w:val="21"/>
          <w:lang w:eastAsia="zh-CN"/>
        </w:rPr>
        <w:fldChar w:fldCharType="end"/>
      </w:r>
      <w:r>
        <w:rPr>
          <w:rFonts w:eastAsia="黑体"/>
          <w:b/>
          <w:sz w:val="21"/>
          <w:lang w:eastAsia="zh-CN"/>
        </w:rPr>
        <w:t xml:space="preserve">  2022届</w:t>
      </w:r>
      <w:r>
        <w:rPr>
          <w:rFonts w:hint="eastAsia" w:eastAsia="黑体"/>
          <w:b/>
          <w:sz w:val="21"/>
          <w:lang w:eastAsia="zh-CN"/>
        </w:rPr>
        <w:t>各学院毕业生就业地区分布</w:t>
      </w:r>
    </w:p>
    <w:tbl>
      <w:tblPr>
        <w:tblStyle w:val="35"/>
        <w:tblW w:w="5165" w:type="pct"/>
        <w:jc w:val="cente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fixed"/>
        <w:tblCellMar>
          <w:top w:w="0" w:type="dxa"/>
          <w:left w:w="108" w:type="dxa"/>
          <w:bottom w:w="0" w:type="dxa"/>
          <w:right w:w="108" w:type="dxa"/>
        </w:tblCellMar>
      </w:tblPr>
      <w:tblGrid>
        <w:gridCol w:w="1282"/>
        <w:gridCol w:w="4665"/>
        <w:gridCol w:w="4344"/>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jc w:val="center"/>
        </w:trPr>
        <w:tc>
          <w:tcPr>
            <w:tcW w:w="1282" w:type="dxa"/>
            <w:tcBorders>
              <w:top w:val="single" w:color="0F6FC6" w:sz="4" w:space="0"/>
              <w:left w:val="single" w:color="0F6FC6" w:sz="4" w:space="0"/>
              <w:bottom w:val="single" w:color="0F6FC6" w:sz="4" w:space="0"/>
              <w:right w:val="nil"/>
              <w:insideH w:val="single"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after="100" w:afterAutospacing="1" w:line="240" w:lineRule="auto"/>
              <w:ind w:firstLine="0" w:firstLineChars="0"/>
              <w:jc w:val="center"/>
              <w:textAlignment w:val="auto"/>
              <w:rPr>
                <w:rFonts w:eastAsia="Calibri"/>
                <w:b w:val="0"/>
                <w:bCs w:val="0"/>
                <w:snapToGrid/>
                <w:color w:val="FFFFFF"/>
                <w:sz w:val="21"/>
                <w:lang w:eastAsia="zh-CN"/>
              </w:rPr>
            </w:pPr>
            <w:r>
              <w:rPr>
                <w:rFonts w:hint="eastAsia" w:ascii="微软雅黑" w:hAnsi="微软雅黑" w:eastAsia="微软雅黑" w:cs="微软雅黑"/>
                <w:b/>
                <w:bCs/>
                <w:snapToGrid/>
                <w:color w:val="FFFFFF"/>
                <w:sz w:val="21"/>
                <w:lang w:eastAsia="zh-CN"/>
              </w:rPr>
              <w:t>学院</w:t>
            </w:r>
          </w:p>
        </w:tc>
        <w:tc>
          <w:tcPr>
            <w:tcW w:w="4665" w:type="dxa"/>
            <w:tcBorders>
              <w:top w:val="single" w:color="0F6FC6" w:sz="4" w:space="0"/>
              <w:bottom w:val="single" w:color="0F6FC6" w:sz="4" w:space="0"/>
              <w:right w:val="nil"/>
              <w:insideH w:val="single"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after="100" w:afterAutospacing="1" w:line="240" w:lineRule="auto"/>
              <w:ind w:firstLine="0" w:firstLineChars="0"/>
              <w:jc w:val="center"/>
              <w:textAlignment w:val="auto"/>
              <w:rPr>
                <w:rFonts w:eastAsia="Calibri"/>
                <w:b w:val="0"/>
                <w:bCs w:val="0"/>
                <w:snapToGrid/>
                <w:color w:val="FFFFFF"/>
                <w:sz w:val="21"/>
                <w:lang w:eastAsia="zh-CN"/>
              </w:rPr>
            </w:pPr>
            <w:r>
              <w:rPr>
                <w:rFonts w:hint="eastAsia" w:eastAsia="Calibri"/>
                <w:b/>
                <w:bCs/>
                <w:snapToGrid/>
                <w:color w:val="FFFFFF"/>
                <w:sz w:val="21"/>
                <w:lang w:eastAsia="zh-CN"/>
              </w:rPr>
              <w:t>就业人数占比排名前五的地区分布</w:t>
            </w:r>
          </w:p>
        </w:tc>
        <w:tc>
          <w:tcPr>
            <w:tcW w:w="4344" w:type="dxa"/>
            <w:tcBorders>
              <w:top w:val="single" w:color="0F6FC6" w:sz="4" w:space="0"/>
              <w:bottom w:val="single" w:color="0F6FC6" w:sz="4" w:space="0"/>
              <w:right w:val="single" w:color="0F6FC6" w:sz="4" w:space="0"/>
              <w:insideH w:val="single"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after="100" w:afterAutospacing="1" w:line="240" w:lineRule="auto"/>
              <w:ind w:firstLine="0" w:firstLineChars="0"/>
              <w:jc w:val="center"/>
              <w:textAlignment w:val="auto"/>
              <w:rPr>
                <w:rFonts w:eastAsia="Calibri"/>
                <w:b w:val="0"/>
                <w:bCs w:val="0"/>
                <w:snapToGrid/>
                <w:color w:val="FFFFFF"/>
                <w:sz w:val="21"/>
                <w:lang w:eastAsia="zh-CN"/>
              </w:rPr>
            </w:pPr>
            <w:r>
              <w:rPr>
                <w:rFonts w:hint="eastAsia" w:eastAsia="Calibri"/>
                <w:b/>
                <w:bCs/>
                <w:snapToGrid/>
                <w:color w:val="FFFFFF"/>
                <w:sz w:val="21"/>
                <w:lang w:eastAsia="zh-CN"/>
              </w:rPr>
              <w:t>省内就业人数占比排名前五的城市分布</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28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信息工程学院</w:t>
            </w:r>
          </w:p>
        </w:tc>
        <w:tc>
          <w:tcPr>
            <w:tcW w:w="466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海南省（83.33%）、广东省（8.33%）、广西壮族自治区（4.17%）、内蒙古自治区（4.17%）</w:t>
            </w:r>
          </w:p>
        </w:tc>
        <w:tc>
          <w:tcPr>
            <w:tcW w:w="4344"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海口市（60.00%）、东方市（10.00%）、文昌市（10.00%）、三亚市（5.00%）、五指山市（5.00%）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28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城建学院</w:t>
            </w:r>
          </w:p>
        </w:tc>
        <w:tc>
          <w:tcPr>
            <w:tcW w:w="466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海南省（68.18%）、广东省（13.64%）、贵州省（13.64%）、浙江省（4.55%）</w:t>
            </w:r>
          </w:p>
        </w:tc>
        <w:tc>
          <w:tcPr>
            <w:tcW w:w="4344"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海口市（66.67%）、三亚市（20.00%）、澄迈县（13.33%）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28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机电工程学院</w:t>
            </w:r>
          </w:p>
        </w:tc>
        <w:tc>
          <w:tcPr>
            <w:tcW w:w="466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海南省（59.26%）、广东省（11.11%）、广西壮族自治区（7.41%）、上海市（3.70%）、云南省（3.70%）</w:t>
            </w:r>
          </w:p>
        </w:tc>
        <w:tc>
          <w:tcPr>
            <w:tcW w:w="4344"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海口市（75.00%）、万宁市（6.25%）、五指山市（6.25%）、琼海市（6.25%）、白沙黎族自治县（6.25%）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28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健康科学学院</w:t>
            </w:r>
          </w:p>
        </w:tc>
        <w:tc>
          <w:tcPr>
            <w:tcW w:w="466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海南省（55.56%）、广东省（22.22%）、浙江省（11.11%）、甘肃省（11.11%）</w:t>
            </w:r>
          </w:p>
        </w:tc>
        <w:tc>
          <w:tcPr>
            <w:tcW w:w="4344"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海口市（80.00%）、屯昌县（20.00%）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28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国际护理学院</w:t>
            </w:r>
          </w:p>
        </w:tc>
        <w:tc>
          <w:tcPr>
            <w:tcW w:w="466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海南省（53.85%）、广东省（15.38%）、浙江省（7.69%）、福建省（7.69%）、贵州省（7.69%）</w:t>
            </w:r>
          </w:p>
        </w:tc>
        <w:tc>
          <w:tcPr>
            <w:tcW w:w="4344"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海口市（85.71%）、东方市（14.29%）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28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化学与材料工程学院</w:t>
            </w:r>
          </w:p>
        </w:tc>
        <w:tc>
          <w:tcPr>
            <w:tcW w:w="466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海南省（38.89%）、广东省（22.22%）、福建省（11.11%）、上海市（5.56%）、安徽省（5.56%）</w:t>
            </w:r>
          </w:p>
        </w:tc>
        <w:tc>
          <w:tcPr>
            <w:tcW w:w="4344"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海口市（85.71%）、琼中黎族苗族自治县（14.29%）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28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海事学院</w:t>
            </w:r>
          </w:p>
        </w:tc>
        <w:tc>
          <w:tcPr>
            <w:tcW w:w="466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*海南省（50.00%）、陕西省（50.00%）</w:t>
            </w:r>
          </w:p>
        </w:tc>
        <w:tc>
          <w:tcPr>
            <w:tcW w:w="4344"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*三亚市（100.00%）</w:t>
            </w:r>
          </w:p>
        </w:tc>
      </w:tr>
    </w:tbl>
    <w:p>
      <w:pPr>
        <w:rPr>
          <w:snapToGrid/>
          <w:sz w:val="21"/>
          <w:lang w:eastAsia="zh-CN"/>
        </w:rPr>
      </w:pPr>
      <w:r>
        <w:rPr>
          <w:rFonts w:hint="eastAsia" w:ascii="仿宋" w:hAnsi="仿宋"/>
          <w:sz w:val="21"/>
          <w:lang w:eastAsia="zh-CN"/>
        </w:rPr>
        <w:t>数据来源：北京新锦成教育技术有限公司</w:t>
      </w:r>
    </w:p>
    <w:p>
      <w:pPr>
        <w:pStyle w:val="3"/>
        <w:ind w:firstLine="643"/>
        <w:rPr>
          <w:lang w:eastAsia="zh-CN"/>
        </w:rPr>
      </w:pPr>
      <w:bookmarkStart w:id="79" w:name="_Toc151887722"/>
      <w:r>
        <w:rPr>
          <w:rFonts w:hint="eastAsia"/>
          <w:lang w:eastAsia="zh-CN"/>
        </w:rPr>
        <w:t>（二）</w:t>
      </w:r>
      <w:r>
        <w:rPr>
          <w:lang w:eastAsia="zh-CN"/>
        </w:rPr>
        <w:t>各</w:t>
      </w:r>
      <w:r>
        <w:rPr>
          <w:rFonts w:hint="eastAsia"/>
          <w:lang w:eastAsia="zh-CN"/>
        </w:rPr>
        <w:t>专业就业地区分布</w:t>
      </w:r>
      <w:bookmarkEnd w:id="79"/>
    </w:p>
    <w:p>
      <w:pPr>
        <w:ind w:firstLine="640"/>
        <w:rPr>
          <w:lang w:val="zh-CN" w:eastAsia="zh-CN"/>
        </w:rPr>
      </w:pPr>
      <w:r>
        <w:rPr>
          <w:rFonts w:hint="eastAsia"/>
          <w:lang w:val="zh-CN" w:eastAsia="zh-CN"/>
        </w:rPr>
        <w:t>各专业主要就业地区分布</w:t>
      </w:r>
      <w:r>
        <w:rPr>
          <w:lang w:val="zh-CN" w:eastAsia="zh-CN"/>
        </w:rPr>
        <w:t>：</w:t>
      </w:r>
      <w:r>
        <w:rPr>
          <w:rFonts w:hint="eastAsia"/>
          <w:lang w:val="zh-CN" w:eastAsia="zh-CN"/>
        </w:rPr>
        <w:t>各专业毕业生主要就业地区分布如下表所示。</w:t>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r>
        <w:rPr>
          <w:rFonts w:hint="eastAsia" w:eastAsia="黑体"/>
          <w:b/>
          <w:sz w:val="21"/>
          <w:lang w:eastAsia="zh-CN"/>
        </w:rPr>
        <w:t xml:space="preserve">表3. </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表1-2-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16</w:t>
      </w:r>
      <w:r>
        <w:rPr>
          <w:rFonts w:eastAsia="黑体"/>
          <w:b/>
          <w:sz w:val="21"/>
          <w:lang w:eastAsia="zh-CN"/>
        </w:rPr>
        <w:fldChar w:fldCharType="end"/>
      </w:r>
      <w:r>
        <w:rPr>
          <w:rFonts w:eastAsia="黑体"/>
          <w:b/>
          <w:sz w:val="21"/>
          <w:lang w:eastAsia="zh-CN"/>
        </w:rPr>
        <w:t xml:space="preserve">  2022届</w:t>
      </w:r>
      <w:r>
        <w:rPr>
          <w:rFonts w:hint="eastAsia" w:eastAsia="黑体"/>
          <w:b/>
          <w:sz w:val="21"/>
          <w:lang w:eastAsia="zh-CN"/>
        </w:rPr>
        <w:t>各专业毕业生就业地区分布</w:t>
      </w:r>
    </w:p>
    <w:tbl>
      <w:tblPr>
        <w:tblStyle w:val="35"/>
        <w:tblW w:w="5114" w:type="pct"/>
        <w:jc w:val="cente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fixed"/>
        <w:tblCellMar>
          <w:top w:w="0" w:type="dxa"/>
          <w:left w:w="108" w:type="dxa"/>
          <w:bottom w:w="0" w:type="dxa"/>
          <w:right w:w="108" w:type="dxa"/>
        </w:tblCellMar>
      </w:tblPr>
      <w:tblGrid>
        <w:gridCol w:w="1930"/>
        <w:gridCol w:w="3861"/>
        <w:gridCol w:w="4398"/>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jc w:val="center"/>
        </w:trPr>
        <w:tc>
          <w:tcPr>
            <w:tcW w:w="1701" w:type="dxa"/>
            <w:tcBorders>
              <w:top w:val="single" w:color="0F6FC6" w:sz="4" w:space="0"/>
              <w:left w:val="single" w:color="0F6FC6" w:sz="4" w:space="0"/>
              <w:bottom w:val="single" w:color="0F6FC6" w:sz="4" w:space="0"/>
              <w:right w:val="nil"/>
              <w:insideH w:val="single"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after="100" w:afterAutospacing="1" w:line="240" w:lineRule="auto"/>
              <w:ind w:firstLine="0" w:firstLineChars="0"/>
              <w:jc w:val="center"/>
              <w:textAlignment w:val="auto"/>
              <w:rPr>
                <w:rFonts w:ascii="宋体" w:hAnsi="宋体" w:eastAsia="宋体"/>
                <w:b w:val="0"/>
                <w:bCs w:val="0"/>
                <w:snapToGrid/>
                <w:color w:val="FFFFFF"/>
                <w:sz w:val="21"/>
                <w:lang w:eastAsia="zh-CN"/>
              </w:rPr>
            </w:pPr>
            <w:r>
              <w:rPr>
                <w:rFonts w:hint="eastAsia" w:ascii="宋体" w:hAnsi="宋体" w:eastAsia="宋体" w:cs="微软雅黑"/>
                <w:b/>
                <w:bCs/>
                <w:snapToGrid/>
                <w:color w:val="FFFFFF"/>
                <w:sz w:val="21"/>
                <w:lang w:eastAsia="zh-CN"/>
              </w:rPr>
              <w:t>专业</w:t>
            </w:r>
          </w:p>
        </w:tc>
        <w:tc>
          <w:tcPr>
            <w:tcW w:w="3402" w:type="dxa"/>
            <w:tcBorders>
              <w:top w:val="single" w:color="0F6FC6" w:sz="4" w:space="0"/>
              <w:bottom w:val="single" w:color="0F6FC6" w:sz="4" w:space="0"/>
              <w:right w:val="nil"/>
              <w:insideH w:val="single"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after="100" w:afterAutospacing="1" w:line="240" w:lineRule="auto"/>
              <w:ind w:firstLine="0" w:firstLineChars="0"/>
              <w:jc w:val="center"/>
              <w:textAlignment w:val="auto"/>
              <w:rPr>
                <w:rFonts w:ascii="宋体" w:hAnsi="宋体" w:eastAsia="宋体"/>
                <w:b w:val="0"/>
                <w:bCs w:val="0"/>
                <w:snapToGrid/>
                <w:color w:val="FFFFFF"/>
                <w:sz w:val="21"/>
                <w:lang w:eastAsia="zh-CN"/>
              </w:rPr>
            </w:pPr>
            <w:r>
              <w:rPr>
                <w:rFonts w:hint="eastAsia" w:ascii="宋体" w:hAnsi="宋体" w:eastAsia="宋体" w:cs="微软雅黑"/>
                <w:b/>
                <w:bCs/>
                <w:snapToGrid/>
                <w:color w:val="FFFFFF"/>
                <w:sz w:val="21"/>
                <w:lang w:eastAsia="zh-CN"/>
              </w:rPr>
              <w:t>就业人数占比排名前五的地区分布</w:t>
            </w:r>
          </w:p>
        </w:tc>
        <w:tc>
          <w:tcPr>
            <w:tcW w:w="3875" w:type="dxa"/>
            <w:tcBorders>
              <w:top w:val="single" w:color="0F6FC6" w:sz="4" w:space="0"/>
              <w:bottom w:val="single" w:color="0F6FC6" w:sz="4" w:space="0"/>
              <w:right w:val="single" w:color="0F6FC6" w:sz="4" w:space="0"/>
              <w:insideH w:val="single"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after="100" w:afterAutospacing="1" w:line="240" w:lineRule="auto"/>
              <w:ind w:firstLine="0" w:firstLineChars="0"/>
              <w:jc w:val="center"/>
              <w:textAlignment w:val="auto"/>
              <w:rPr>
                <w:rFonts w:ascii="宋体" w:hAnsi="宋体" w:eastAsia="宋体"/>
                <w:b w:val="0"/>
                <w:bCs w:val="0"/>
                <w:snapToGrid/>
                <w:color w:val="FFFFFF"/>
                <w:sz w:val="21"/>
                <w:lang w:eastAsia="zh-CN"/>
              </w:rPr>
            </w:pPr>
            <w:r>
              <w:rPr>
                <w:rFonts w:hint="eastAsia" w:ascii="宋体" w:hAnsi="宋体" w:eastAsia="宋体" w:cs="微软雅黑"/>
                <w:b/>
                <w:bCs/>
                <w:snapToGrid/>
                <w:color w:val="FFFFFF"/>
                <w:sz w:val="21"/>
                <w:lang w:eastAsia="zh-CN"/>
              </w:rPr>
              <w:t>省内就业人数占比排名前五的城市分布</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大数据技术与</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应用</w:t>
            </w:r>
          </w:p>
        </w:tc>
        <w:tc>
          <w:tcPr>
            <w:tcW w:w="340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海南省（83.33%）、广西壮族自治区（8.33%）、内蒙古自治区（8.33%）</w:t>
            </w:r>
          </w:p>
        </w:tc>
        <w:tc>
          <w:tcPr>
            <w:tcW w:w="387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海口市（70.00%）、三亚市（10.00%）、五指山市（10.00%）、昌江黎族自治县（10.00%）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物联网工程</w:t>
            </w:r>
          </w:p>
        </w:tc>
        <w:tc>
          <w:tcPr>
            <w:tcW w:w="340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海南省（83.33%）、广东省（16.67%）</w:t>
            </w:r>
          </w:p>
        </w:tc>
        <w:tc>
          <w:tcPr>
            <w:tcW w:w="387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海口市（50.00%）、东方市（20.00%）、文昌市（20.00%）、琼中黎族苗族自治县（10.00%）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土木工程</w:t>
            </w:r>
          </w:p>
        </w:tc>
        <w:tc>
          <w:tcPr>
            <w:tcW w:w="340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海南省（68.18%）、广东省（13.64%）、贵州省（13.64%）、浙江省（4.55%）</w:t>
            </w:r>
          </w:p>
        </w:tc>
        <w:tc>
          <w:tcPr>
            <w:tcW w:w="387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海口市（66.67%）、三亚市（20.00%）、澄迈县（13.33%）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机械设计制造类</w:t>
            </w:r>
          </w:p>
        </w:tc>
        <w:tc>
          <w:tcPr>
            <w:tcW w:w="340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海南省（59.26%）、广东省（11.11%）、广西壮族自治区（7.41%）、上海市（3.70%）、安徽省（3.70%）</w:t>
            </w:r>
          </w:p>
        </w:tc>
        <w:tc>
          <w:tcPr>
            <w:tcW w:w="387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海口市（75.00%）、万宁市（6.25%）、五指山市（6.25%）、琼海市（6.25%）、白沙黎族自治县（6.25%）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健康服务与管理</w:t>
            </w:r>
          </w:p>
        </w:tc>
        <w:tc>
          <w:tcPr>
            <w:tcW w:w="340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海南省（55.56%）、广东省（22.22%）、浙江省（11.11%）、甘肃省（11.11%）</w:t>
            </w:r>
          </w:p>
        </w:tc>
        <w:tc>
          <w:tcPr>
            <w:tcW w:w="387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海口市（80.00%）、屯昌县（20.00%）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护理</w:t>
            </w:r>
          </w:p>
        </w:tc>
        <w:tc>
          <w:tcPr>
            <w:tcW w:w="340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海南省（53.85%）、广东省（15.38%）、福建省（7.69%）、浙江省（7.69%）、贵州省（7.69%）</w:t>
            </w:r>
          </w:p>
        </w:tc>
        <w:tc>
          <w:tcPr>
            <w:tcW w:w="387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海口市（85.71%）、东方市（14.29%）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制药工程</w:t>
            </w:r>
          </w:p>
        </w:tc>
        <w:tc>
          <w:tcPr>
            <w:tcW w:w="340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海南省（37.50%）、广东省（25.00%）、上海市（6.25%）、天津市（6.25%）、安徽省（6.25%）</w:t>
            </w:r>
          </w:p>
        </w:tc>
        <w:tc>
          <w:tcPr>
            <w:tcW w:w="387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海口市（83.33%）、琼中黎族苗族自治县（16.67%）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化学工程与工艺</w:t>
            </w:r>
          </w:p>
        </w:tc>
        <w:tc>
          <w:tcPr>
            <w:tcW w:w="340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*海南省（50.00%）、福建省（50.00%）</w:t>
            </w:r>
          </w:p>
        </w:tc>
        <w:tc>
          <w:tcPr>
            <w:tcW w:w="387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水路运输与海事管理</w:t>
            </w:r>
          </w:p>
        </w:tc>
        <w:tc>
          <w:tcPr>
            <w:tcW w:w="340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*海南省（50.00%）、陕西省（50.00%）</w:t>
            </w:r>
          </w:p>
        </w:tc>
        <w:tc>
          <w:tcPr>
            <w:tcW w:w="387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*三亚市（100.00%）</w:t>
            </w:r>
          </w:p>
        </w:tc>
      </w:tr>
    </w:tbl>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Chars="0"/>
        <w:jc w:val="both"/>
        <w:textAlignment w:val="auto"/>
        <w:rPr>
          <w:rFonts w:ascii="黑体" w:hAnsi="黑体" w:eastAsia="黑体"/>
          <w:snapToGrid/>
          <w:sz w:val="21"/>
          <w:lang w:eastAsia="zh-CN"/>
        </w:rPr>
      </w:pPr>
      <w:r>
        <w:rPr>
          <w:rFonts w:hint="eastAsia" w:ascii="黑体" w:hAnsi="黑体" w:eastAsia="黑体"/>
          <w:snapToGrid/>
          <w:sz w:val="21"/>
          <w:lang w:eastAsia="zh-CN"/>
        </w:rPr>
        <w:t>注：*专业样本量较小，其分析结果仅供参考，不纳入到报告此处分析范畴。</w:t>
      </w:r>
    </w:p>
    <w:p>
      <w:pPr>
        <w:rPr>
          <w:snapToGrid/>
          <w:sz w:val="21"/>
          <w:lang w:eastAsia="zh-CN"/>
        </w:rPr>
      </w:pPr>
      <w:r>
        <w:rPr>
          <w:rFonts w:hint="eastAsia" w:ascii="仿宋" w:hAnsi="仿宋"/>
          <w:sz w:val="21"/>
          <w:lang w:eastAsia="zh-CN"/>
        </w:rPr>
        <w:t>数据来源：北京新锦成教育技术有限公司</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Chars="0"/>
        <w:jc w:val="both"/>
        <w:textAlignment w:val="auto"/>
        <w:rPr>
          <w:rFonts w:ascii="黑体" w:hAnsi="黑体" w:eastAsia="黑体"/>
          <w:snapToGrid/>
          <w:sz w:val="21"/>
          <w:lang w:eastAsia="zh-CN"/>
        </w:rPr>
      </w:pPr>
    </w:p>
    <w:p>
      <w:pPr>
        <w:pStyle w:val="3"/>
        <w:ind w:firstLine="643"/>
        <w:rPr>
          <w:lang w:eastAsia="zh-CN"/>
        </w:rPr>
      </w:pPr>
      <w:bookmarkStart w:id="80" w:name="_Toc151887723"/>
      <w:r>
        <w:rPr>
          <w:rFonts w:hint="eastAsia"/>
          <w:lang w:eastAsia="zh-CN"/>
        </w:rPr>
        <w:t>（三）生源地与就业地域交叉分析</w:t>
      </w:r>
      <w:bookmarkEnd w:id="80"/>
    </w:p>
    <w:p>
      <w:pPr>
        <w:ind w:firstLine="640"/>
        <w:rPr>
          <w:lang w:val="zh-CN" w:eastAsia="zh-CN"/>
        </w:rPr>
      </w:pPr>
      <w:r>
        <w:rPr>
          <w:rFonts w:hint="eastAsia"/>
          <w:lang w:eastAsia="zh-CN"/>
        </w:rPr>
        <w:t>“省内就业”</w:t>
      </w:r>
      <w:r>
        <w:rPr>
          <w:rFonts w:hint="eastAsia"/>
          <w:lang w:val="zh-CN" w:eastAsia="zh-CN"/>
        </w:rPr>
        <w:t>为省内生源的首要选择</w:t>
      </w:r>
      <w:r>
        <w:rPr>
          <w:rFonts w:hint="eastAsia"/>
          <w:lang w:eastAsia="zh-CN"/>
        </w:rPr>
        <w:t>，</w:t>
      </w:r>
      <w:r>
        <w:rPr>
          <w:rFonts w:hint="eastAsia"/>
          <w:lang w:val="zh-CN" w:eastAsia="zh-CN"/>
        </w:rPr>
        <w:t>其中</w:t>
      </w:r>
      <w:r>
        <w:rPr>
          <w:rFonts w:hint="eastAsia"/>
          <w:lang w:eastAsia="zh-CN"/>
        </w:rPr>
        <w:t>92.06%</w:t>
      </w:r>
      <w:r>
        <w:rPr>
          <w:rFonts w:hint="eastAsia"/>
          <w:lang w:val="zh-CN" w:eastAsia="zh-CN"/>
        </w:rPr>
        <w:t>的省内生源选择留在“海南省”就业</w:t>
      </w:r>
      <w:r>
        <w:rPr>
          <w:lang w:eastAsia="zh-CN"/>
        </w:rPr>
        <w:t>；</w:t>
      </w:r>
      <w:r>
        <w:rPr>
          <w:rFonts w:hint="eastAsia"/>
          <w:lang w:eastAsia="zh-CN"/>
        </w:rPr>
        <w:t>“回生源地就业”是省外生源的首要选择，占比为46.67%</w:t>
      </w:r>
      <w:r>
        <w:rPr>
          <w:lang w:val="zh-CN" w:eastAsia="zh-CN"/>
        </w:rPr>
        <w:t>。</w:t>
      </w:r>
    </w:p>
    <w:p>
      <w:pPr>
        <w:pBdr>
          <w:top w:val="none" w:color="000000" w:sz="0" w:space="0"/>
          <w:left w:val="none" w:color="000000" w:sz="0" w:space="0"/>
          <w:bottom w:val="none" w:color="000000" w:sz="0" w:space="0"/>
          <w:right w:val="none" w:color="000000" w:sz="0" w:space="0"/>
          <w:between w:val="none" w:color="000000" w:sz="0" w:space="0"/>
        </w:pBdr>
        <w:spacing w:line="360" w:lineRule="auto"/>
        <w:ind w:firstLine="480"/>
        <w:jc w:val="both"/>
        <w:rPr>
          <w:rFonts w:eastAsia="Calibri" w:cs="宋体"/>
          <w:sz w:val="24"/>
          <w:lang w:eastAsia="zh-CN"/>
        </w:rPr>
      </w:pPr>
      <w:r>
        <w:rPr>
          <w:rFonts w:eastAsia="Calibri" w:cs="宋体"/>
          <w:sz w:val="24"/>
          <w:lang w:eastAsia="zh-CN"/>
        </w:rPr>
        <w:drawing>
          <wp:inline distT="0" distB="0" distL="0" distR="0">
            <wp:extent cx="2320290" cy="1771650"/>
            <wp:effectExtent l="0" t="0" r="3810" b="6350"/>
            <wp:docPr id="75" name="图表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rFonts w:eastAsia="Calibri" w:cs="宋体"/>
          <w:sz w:val="24"/>
          <w:lang w:eastAsia="zh-CN"/>
        </w:rPr>
        <w:drawing>
          <wp:inline distT="0" distB="0" distL="0" distR="0">
            <wp:extent cx="2568575" cy="1771650"/>
            <wp:effectExtent l="0" t="0" r="9525" b="6350"/>
            <wp:docPr id="76" name="图表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line="360" w:lineRule="auto"/>
        <w:ind w:firstLine="1980" w:firstLineChars="1100"/>
        <w:jc w:val="both"/>
        <w:rPr>
          <w:rFonts w:ascii="宋体" w:hAnsi="宋体" w:eastAsia="黑体" w:cs="宋体"/>
          <w:sz w:val="18"/>
          <w:szCs w:val="18"/>
          <w:lang w:eastAsia="zh-CN"/>
        </w:rPr>
      </w:pPr>
      <w:r>
        <w:rPr>
          <w:rFonts w:hint="eastAsia" w:ascii="宋体" w:hAnsi="宋体" w:eastAsia="黑体" w:cs="宋体"/>
          <w:sz w:val="18"/>
          <w:szCs w:val="18"/>
          <w:lang w:eastAsia="zh-CN"/>
        </w:rPr>
        <w:t xml:space="preserve">省内生源 </w:t>
      </w:r>
      <w:r>
        <w:rPr>
          <w:rFonts w:ascii="宋体" w:hAnsi="宋体" w:eastAsia="黑体" w:cs="宋体"/>
          <w:sz w:val="18"/>
          <w:szCs w:val="18"/>
          <w:lang w:eastAsia="zh-CN"/>
        </w:rPr>
        <w:t xml:space="preserve">                              </w:t>
      </w:r>
      <w:r>
        <w:rPr>
          <w:rFonts w:hint="eastAsia" w:ascii="宋体" w:hAnsi="宋体" w:eastAsia="黑体" w:cs="宋体"/>
          <w:sz w:val="18"/>
          <w:szCs w:val="18"/>
          <w:lang w:eastAsia="zh-CN"/>
        </w:rPr>
        <w:t>省外生源</w:t>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r>
        <w:rPr>
          <w:rFonts w:hint="eastAsia" w:eastAsia="黑体"/>
          <w:b/>
          <w:sz w:val="21"/>
          <w:lang w:eastAsia="zh-CN"/>
        </w:rPr>
        <w:t>图3.</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23</w:t>
      </w:r>
      <w:r>
        <w:rPr>
          <w:rFonts w:eastAsia="黑体"/>
          <w:b/>
          <w:sz w:val="21"/>
          <w:lang w:eastAsia="zh-CN"/>
        </w:rPr>
        <w:fldChar w:fldCharType="end"/>
      </w:r>
      <w:r>
        <w:rPr>
          <w:rFonts w:eastAsia="黑体"/>
          <w:b/>
          <w:sz w:val="21"/>
          <w:lang w:eastAsia="zh-CN"/>
        </w:rPr>
        <w:t xml:space="preserve"> </w:t>
      </w:r>
      <w:r>
        <w:rPr>
          <w:rFonts w:hint="eastAsia" w:eastAsia="黑体"/>
          <w:b/>
          <w:sz w:val="21"/>
          <w:lang w:eastAsia="zh-CN"/>
        </w:rPr>
        <w:t xml:space="preserve"> 2022届毕业生省内外</w:t>
      </w:r>
      <w:r>
        <w:rPr>
          <w:rFonts w:eastAsia="黑体"/>
          <w:b/>
          <w:sz w:val="21"/>
          <w:lang w:eastAsia="zh-CN"/>
        </w:rPr>
        <w:t>生源就业地区分布</w:t>
      </w:r>
      <w:r>
        <w:rPr>
          <w:rFonts w:hint="eastAsia" w:eastAsia="黑体"/>
          <w:b/>
          <w:sz w:val="21"/>
          <w:lang w:eastAsia="zh-CN"/>
        </w:rPr>
        <w:t xml:space="preserve"> </w:t>
      </w:r>
    </w:p>
    <w:p>
      <w:pPr>
        <w:rPr>
          <w:snapToGrid/>
          <w:sz w:val="21"/>
          <w:lang w:eastAsia="zh-CN"/>
        </w:rPr>
      </w:pPr>
      <w:r>
        <w:rPr>
          <w:rFonts w:hint="eastAsia" w:ascii="仿宋" w:hAnsi="仿宋"/>
          <w:sz w:val="21"/>
          <w:lang w:eastAsia="zh-CN"/>
        </w:rPr>
        <w:t>数据来源：北京新锦成教育技术有限公司</w:t>
      </w:r>
    </w:p>
    <w:p>
      <w:pPr>
        <w:ind w:firstLine="640"/>
        <w:rPr>
          <w:lang w:val="zh-CN" w:eastAsia="zh-CN"/>
        </w:rPr>
      </w:pPr>
      <w:r>
        <w:rPr>
          <w:rFonts w:hint="eastAsia"/>
          <w:lang w:val="zh-CN" w:eastAsia="zh-CN"/>
        </w:rPr>
        <w:t>主要就业地区月均收入</w:t>
      </w:r>
      <w:r>
        <w:rPr>
          <w:rFonts w:hint="eastAsia"/>
          <w:lang w:eastAsia="zh-CN"/>
        </w:rPr>
        <w:t>：</w:t>
      </w:r>
      <w:r>
        <w:rPr>
          <w:rFonts w:hint="eastAsia"/>
          <w:lang w:val="zh-CN" w:eastAsia="zh-CN"/>
        </w:rPr>
        <w:t>在广东省、海南省就业的毕业生当前月均收入水平相对较高，分别为6720元、4631元。。</w:t>
      </w:r>
    </w:p>
    <w:p>
      <w:pPr>
        <w:pBdr>
          <w:top w:val="none" w:color="000000" w:sz="0" w:space="0"/>
          <w:left w:val="none" w:color="000000" w:sz="0" w:space="0"/>
          <w:bottom w:val="none" w:color="000000" w:sz="0" w:space="0"/>
          <w:right w:val="none" w:color="000000" w:sz="0" w:space="0"/>
          <w:between w:val="none" w:color="000000" w:sz="0" w:space="0"/>
        </w:pBdr>
        <w:spacing w:before="163" w:after="120" w:line="360" w:lineRule="auto"/>
        <w:ind w:firstLine="480"/>
        <w:jc w:val="center"/>
        <w:rPr>
          <w:rFonts w:eastAsia="Calibri"/>
          <w:color w:val="auto"/>
          <w:sz w:val="21"/>
          <w:lang w:eastAsia="zh-CN"/>
        </w:rPr>
      </w:pPr>
      <w:r>
        <w:rPr>
          <w:rFonts w:ascii="Calibri" w:hAnsi="Calibri" w:eastAsia="Calibri" w:cs="宋体"/>
          <w:sz w:val="24"/>
          <w:lang w:eastAsia="zh-CN"/>
        </w:rPr>
        <w:drawing>
          <wp:inline distT="0" distB="0" distL="0" distR="0">
            <wp:extent cx="4819650" cy="2341245"/>
            <wp:effectExtent l="0" t="0" r="6350" b="8255"/>
            <wp:docPr id="77"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r>
        <w:rPr>
          <w:rFonts w:hint="eastAsia" w:eastAsia="黑体"/>
          <w:b/>
          <w:sz w:val="21"/>
          <w:lang w:eastAsia="zh-CN"/>
        </w:rPr>
        <w:t xml:space="preserve">图3. </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24</w:t>
      </w:r>
      <w:r>
        <w:rPr>
          <w:rFonts w:eastAsia="黑体"/>
          <w:b/>
          <w:sz w:val="21"/>
          <w:lang w:eastAsia="zh-CN"/>
        </w:rPr>
        <w:fldChar w:fldCharType="end"/>
      </w:r>
      <w:r>
        <w:rPr>
          <w:rFonts w:hint="eastAsia" w:eastAsia="黑体"/>
          <w:b/>
          <w:sz w:val="21"/>
          <w:lang w:eastAsia="zh-CN"/>
        </w:rPr>
        <w:t xml:space="preserve">  2022届主要</w:t>
      </w:r>
      <w:r>
        <w:rPr>
          <w:rFonts w:eastAsia="黑体"/>
          <w:b/>
          <w:sz w:val="21"/>
          <w:lang w:eastAsia="zh-CN"/>
        </w:rPr>
        <w:t>就业地区</w:t>
      </w:r>
      <w:r>
        <w:rPr>
          <w:rFonts w:hint="eastAsia" w:eastAsia="黑体"/>
          <w:b/>
          <w:sz w:val="21"/>
          <w:lang w:eastAsia="zh-CN"/>
        </w:rPr>
        <w:t>毕业生的月均收入</w:t>
      </w:r>
      <w:r>
        <w:rPr>
          <w:rFonts w:eastAsia="黑体"/>
          <w:b/>
          <w:sz w:val="21"/>
          <w:lang w:eastAsia="zh-CN"/>
        </w:rPr>
        <w:t>分布</w:t>
      </w:r>
      <w:r>
        <w:rPr>
          <w:rFonts w:hint="eastAsia" w:eastAsia="黑体"/>
          <w:b/>
          <w:sz w:val="21"/>
          <w:lang w:eastAsia="zh-CN"/>
        </w:rPr>
        <w:t xml:space="preserve"> （单位</w:t>
      </w:r>
      <w:r>
        <w:rPr>
          <w:rFonts w:eastAsia="黑体"/>
          <w:b/>
          <w:sz w:val="21"/>
          <w:lang w:eastAsia="zh-CN"/>
        </w:rPr>
        <w:t>：</w:t>
      </w:r>
      <w:r>
        <w:rPr>
          <w:rFonts w:hint="eastAsia" w:eastAsia="黑体"/>
          <w:b/>
          <w:sz w:val="21"/>
          <w:lang w:eastAsia="zh-CN"/>
        </w:rPr>
        <w:t>元）</w:t>
      </w:r>
    </w:p>
    <w:p>
      <w:pPr>
        <w:pBdr>
          <w:top w:val="none" w:color="000000" w:sz="0" w:space="0"/>
          <w:left w:val="none" w:color="000000" w:sz="0" w:space="0"/>
          <w:bottom w:val="none" w:color="000000" w:sz="0" w:space="0"/>
          <w:right w:val="none" w:color="000000" w:sz="0" w:space="0"/>
          <w:between w:val="none" w:color="000000" w:sz="0" w:space="0"/>
        </w:pBdr>
        <w:spacing w:before="163" w:line="360" w:lineRule="auto"/>
        <w:jc w:val="both"/>
        <w:rPr>
          <w:rFonts w:ascii="黑体" w:hAnsi="黑体" w:eastAsia="黑体" w:cs="宋体"/>
          <w:sz w:val="21"/>
          <w:lang w:eastAsia="zh-CN"/>
        </w:rPr>
      </w:pPr>
      <w:r>
        <w:rPr>
          <w:rFonts w:ascii="黑体" w:hAnsi="黑体" w:eastAsia="黑体" w:cs="宋体"/>
          <w:sz w:val="21"/>
          <w:lang w:eastAsia="zh-CN"/>
        </w:rPr>
        <w:t>注：主要就业</w:t>
      </w:r>
      <w:r>
        <w:rPr>
          <w:rFonts w:hint="eastAsia" w:ascii="黑体" w:hAnsi="黑体" w:eastAsia="黑体" w:cs="宋体"/>
          <w:sz w:val="21"/>
          <w:lang w:eastAsia="zh-CN"/>
        </w:rPr>
        <w:t>地区</w:t>
      </w:r>
      <w:r>
        <w:rPr>
          <w:rFonts w:ascii="黑体" w:hAnsi="黑体" w:eastAsia="黑体" w:cs="宋体"/>
          <w:sz w:val="21"/>
          <w:lang w:eastAsia="zh-CN"/>
        </w:rPr>
        <w:t>指</w:t>
      </w:r>
      <w:r>
        <w:rPr>
          <w:rFonts w:hint="eastAsia" w:ascii="黑体" w:hAnsi="黑体" w:eastAsia="黑体" w:cs="宋体"/>
          <w:sz w:val="21"/>
          <w:lang w:eastAsia="zh-CN"/>
        </w:rPr>
        <w:t>就业</w:t>
      </w:r>
      <w:r>
        <w:rPr>
          <w:rFonts w:ascii="黑体" w:hAnsi="黑体" w:eastAsia="黑体" w:cs="宋体"/>
          <w:sz w:val="21"/>
          <w:lang w:eastAsia="zh-CN"/>
        </w:rPr>
        <w:t>人数≥</w:t>
      </w:r>
      <w:r>
        <w:rPr>
          <w:rFonts w:eastAsia="黑体" w:cs="宋体"/>
          <w:sz w:val="21"/>
          <w:lang w:eastAsia="zh-CN"/>
        </w:rPr>
        <w:t>15</w:t>
      </w:r>
      <w:r>
        <w:rPr>
          <w:rFonts w:ascii="黑体" w:hAnsi="黑体" w:eastAsia="黑体" w:cs="宋体"/>
          <w:sz w:val="21"/>
          <w:lang w:eastAsia="zh-CN"/>
        </w:rPr>
        <w:t>人</w:t>
      </w:r>
      <w:r>
        <w:rPr>
          <w:rFonts w:hint="eastAsia" w:ascii="黑体" w:hAnsi="黑体" w:eastAsia="黑体" w:cs="宋体"/>
          <w:sz w:val="21"/>
          <w:lang w:eastAsia="zh-CN"/>
        </w:rPr>
        <w:t>的</w:t>
      </w:r>
      <w:r>
        <w:rPr>
          <w:rFonts w:ascii="黑体" w:hAnsi="黑体" w:eastAsia="黑体" w:cs="宋体"/>
          <w:sz w:val="21"/>
          <w:lang w:eastAsia="zh-CN"/>
        </w:rPr>
        <w:t>地区。</w:t>
      </w:r>
    </w:p>
    <w:p>
      <w:pPr>
        <w:rPr>
          <w:snapToGrid/>
          <w:sz w:val="21"/>
          <w:lang w:eastAsia="zh-CN"/>
        </w:rPr>
      </w:pPr>
      <w:r>
        <w:rPr>
          <w:rFonts w:hint="eastAsia" w:ascii="仿宋" w:hAnsi="仿宋"/>
          <w:sz w:val="21"/>
          <w:lang w:eastAsia="zh-CN"/>
        </w:rPr>
        <w:t>数据来源：北京新锦成教育技术有限公司</w:t>
      </w:r>
    </w:p>
    <w:p>
      <w:pPr>
        <w:ind w:firstLine="640"/>
        <w:rPr>
          <w:lang w:val="zh-CN" w:eastAsia="zh-CN"/>
        </w:rPr>
      </w:pPr>
      <w:r>
        <w:rPr>
          <w:rFonts w:hint="eastAsia"/>
          <w:lang w:val="zh-CN" w:eastAsia="zh-CN"/>
        </w:rPr>
        <w:t>省内主要就业城市月均收入：在海口市就业的毕业生当前月均收入水平相对较高，为4996元；而在三亚市就业的毕业生当前月均收入水平相对较低，为3600元。</w:t>
      </w:r>
    </w:p>
    <w:p>
      <w:pPr>
        <w:pBdr>
          <w:top w:val="none" w:color="000000" w:sz="0" w:space="0"/>
          <w:left w:val="none" w:color="000000" w:sz="0" w:space="0"/>
          <w:bottom w:val="none" w:color="000000" w:sz="0" w:space="0"/>
          <w:right w:val="none" w:color="000000" w:sz="0" w:space="0"/>
          <w:between w:val="none" w:color="000000" w:sz="0" w:space="0"/>
        </w:pBdr>
        <w:spacing w:before="163" w:after="120" w:line="360" w:lineRule="auto"/>
        <w:ind w:firstLine="480"/>
        <w:jc w:val="center"/>
        <w:rPr>
          <w:rFonts w:eastAsia="Calibri"/>
          <w:color w:val="auto"/>
          <w:sz w:val="21"/>
          <w:lang w:eastAsia="zh-CN"/>
        </w:rPr>
      </w:pPr>
      <w:r>
        <w:rPr>
          <w:rFonts w:ascii="Calibri" w:hAnsi="Calibri" w:eastAsia="Calibri" w:cs="宋体"/>
          <w:sz w:val="24"/>
          <w:lang w:eastAsia="zh-CN"/>
        </w:rPr>
        <w:drawing>
          <wp:inline distT="0" distB="0" distL="0" distR="0">
            <wp:extent cx="4486275" cy="1971040"/>
            <wp:effectExtent l="0" t="0" r="9525" b="10160"/>
            <wp:docPr id="78"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r>
        <w:rPr>
          <w:rFonts w:hint="eastAsia" w:eastAsia="黑体"/>
          <w:b/>
          <w:sz w:val="21"/>
          <w:lang w:eastAsia="zh-CN"/>
        </w:rPr>
        <w:t>图3.</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25</w:t>
      </w:r>
      <w:r>
        <w:rPr>
          <w:rFonts w:eastAsia="黑体"/>
          <w:b/>
          <w:sz w:val="21"/>
          <w:lang w:eastAsia="zh-CN"/>
        </w:rPr>
        <w:fldChar w:fldCharType="end"/>
      </w:r>
      <w:r>
        <w:rPr>
          <w:rFonts w:hint="eastAsia" w:eastAsia="黑体"/>
          <w:b/>
          <w:sz w:val="21"/>
          <w:lang w:eastAsia="zh-CN"/>
        </w:rPr>
        <w:t xml:space="preserve">  2022届省内</w:t>
      </w:r>
      <w:r>
        <w:rPr>
          <w:rFonts w:eastAsia="黑体"/>
          <w:b/>
          <w:sz w:val="21"/>
          <w:lang w:eastAsia="zh-CN"/>
        </w:rPr>
        <w:t>主要就业城市</w:t>
      </w:r>
      <w:r>
        <w:rPr>
          <w:rFonts w:hint="eastAsia" w:eastAsia="黑体"/>
          <w:b/>
          <w:sz w:val="21"/>
          <w:lang w:eastAsia="zh-CN"/>
        </w:rPr>
        <w:t>毕业生月均收入</w:t>
      </w:r>
      <w:r>
        <w:rPr>
          <w:rFonts w:eastAsia="黑体"/>
          <w:b/>
          <w:sz w:val="21"/>
          <w:lang w:eastAsia="zh-CN"/>
        </w:rPr>
        <w:t>分布</w:t>
      </w:r>
      <w:r>
        <w:rPr>
          <w:rFonts w:hint="eastAsia" w:eastAsia="黑体"/>
          <w:b/>
          <w:sz w:val="21"/>
          <w:lang w:eastAsia="zh-CN"/>
        </w:rPr>
        <w:t>（单位</w:t>
      </w:r>
      <w:r>
        <w:rPr>
          <w:rFonts w:eastAsia="黑体"/>
          <w:b/>
          <w:sz w:val="21"/>
          <w:lang w:eastAsia="zh-CN"/>
        </w:rPr>
        <w:t>：</w:t>
      </w:r>
      <w:r>
        <w:rPr>
          <w:rFonts w:hint="eastAsia" w:eastAsia="黑体"/>
          <w:b/>
          <w:sz w:val="21"/>
          <w:lang w:eastAsia="zh-CN"/>
        </w:rPr>
        <w:t xml:space="preserve">元） </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Chars="0"/>
        <w:jc w:val="both"/>
        <w:textAlignment w:val="auto"/>
        <w:rPr>
          <w:rFonts w:ascii="黑体" w:hAnsi="黑体" w:eastAsia="黑体"/>
          <w:snapToGrid/>
          <w:sz w:val="21"/>
          <w:lang w:eastAsia="zh-CN"/>
        </w:rPr>
      </w:pPr>
      <w:r>
        <w:rPr>
          <w:rFonts w:ascii="黑体" w:hAnsi="黑体" w:eastAsia="黑体"/>
          <w:snapToGrid/>
          <w:sz w:val="21"/>
          <w:lang w:eastAsia="zh-CN"/>
        </w:rPr>
        <w:t>注：主要省内就业城市是指</w:t>
      </w:r>
      <w:r>
        <w:rPr>
          <w:rFonts w:hint="eastAsia" w:ascii="黑体" w:hAnsi="黑体" w:eastAsia="黑体"/>
          <w:snapToGrid/>
          <w:sz w:val="21"/>
          <w:lang w:eastAsia="zh-CN"/>
        </w:rPr>
        <w:t>就业</w:t>
      </w:r>
      <w:r>
        <w:rPr>
          <w:rFonts w:ascii="黑体" w:hAnsi="黑体" w:eastAsia="黑体"/>
          <w:snapToGrid/>
          <w:sz w:val="21"/>
          <w:lang w:eastAsia="zh-CN"/>
        </w:rPr>
        <w:t>人数≥</w:t>
      </w:r>
      <w:r>
        <w:rPr>
          <w:rFonts w:eastAsia="黑体"/>
          <w:snapToGrid/>
          <w:sz w:val="21"/>
          <w:lang w:eastAsia="zh-CN"/>
        </w:rPr>
        <w:t>15</w:t>
      </w:r>
      <w:r>
        <w:rPr>
          <w:rFonts w:ascii="黑体" w:hAnsi="黑体" w:eastAsia="黑体"/>
          <w:snapToGrid/>
          <w:sz w:val="21"/>
          <w:lang w:eastAsia="zh-CN"/>
        </w:rPr>
        <w:t>人</w:t>
      </w:r>
      <w:r>
        <w:rPr>
          <w:rFonts w:hint="eastAsia" w:ascii="黑体" w:hAnsi="黑体" w:eastAsia="黑体"/>
          <w:snapToGrid/>
          <w:sz w:val="21"/>
          <w:lang w:eastAsia="zh-CN"/>
        </w:rPr>
        <w:t>的城市</w:t>
      </w:r>
      <w:r>
        <w:rPr>
          <w:rFonts w:ascii="黑体" w:hAnsi="黑体" w:eastAsia="黑体"/>
          <w:snapToGrid/>
          <w:sz w:val="21"/>
          <w:lang w:eastAsia="zh-CN"/>
        </w:rPr>
        <w:t>。</w:t>
      </w:r>
    </w:p>
    <w:p>
      <w:pPr>
        <w:rPr>
          <w:snapToGrid/>
          <w:sz w:val="21"/>
          <w:lang w:eastAsia="zh-CN"/>
        </w:rPr>
      </w:pPr>
      <w:r>
        <w:rPr>
          <w:rFonts w:hint="eastAsia" w:ascii="仿宋" w:hAnsi="仿宋"/>
          <w:sz w:val="21"/>
          <w:lang w:eastAsia="zh-CN"/>
        </w:rPr>
        <w:t>数据来源：北京新锦成教育技术有限公司</w:t>
      </w:r>
    </w:p>
    <w:p>
      <w:pPr>
        <w:ind w:firstLine="640"/>
        <w:rPr>
          <w:lang w:eastAsia="zh-CN"/>
        </w:rPr>
      </w:pPr>
      <w:r>
        <w:rPr>
          <w:rFonts w:hint="eastAsia"/>
          <w:lang w:eastAsia="zh-CN"/>
        </w:rPr>
        <w:t>毕业生选择就业地的原因</w:t>
      </w:r>
      <w:r>
        <w:rPr>
          <w:lang w:eastAsia="zh-CN"/>
        </w:rPr>
        <w:t>：2022届</w:t>
      </w:r>
      <w:r>
        <w:rPr>
          <w:rFonts w:hint="eastAsia"/>
          <w:lang w:eastAsia="zh-CN"/>
        </w:rPr>
        <w:t>毕业生选择在就业地的原因主要是“在当地碰巧找到理想工作”，占比为35.96%；其次是“当地就业机会多、前景好”，占比为28.07%。</w:t>
      </w:r>
    </w:p>
    <w:p>
      <w:pPr>
        <w:pBdr>
          <w:top w:val="none" w:color="000000" w:sz="0" w:space="0"/>
          <w:left w:val="none" w:color="000000" w:sz="0" w:space="0"/>
          <w:bottom w:val="none" w:color="000000" w:sz="0" w:space="0"/>
          <w:right w:val="none" w:color="000000" w:sz="0" w:space="0"/>
          <w:between w:val="none" w:color="000000" w:sz="0" w:space="0"/>
        </w:pBdr>
        <w:ind w:firstLine="360"/>
        <w:rPr>
          <w:rFonts w:eastAsia="Calibri" w:cs="Calibri"/>
          <w:caps/>
          <w:sz w:val="18"/>
          <w:szCs w:val="20"/>
          <w:lang w:eastAsia="zh-CN"/>
        </w:rPr>
      </w:pPr>
      <w:r>
        <w:rPr>
          <w:rFonts w:eastAsia="Calibri" w:cs="Calibri"/>
          <w:caps/>
          <w:sz w:val="18"/>
          <w:szCs w:val="20"/>
          <w:lang w:eastAsia="zh-CN"/>
        </w:rPr>
        <w:drawing>
          <wp:anchor distT="0" distB="0" distL="114300" distR="114300" simplePos="0" relativeHeight="251663360" behindDoc="0" locked="0" layoutInCell="1" allowOverlap="1">
            <wp:simplePos x="0" y="0"/>
            <wp:positionH relativeFrom="column">
              <wp:posOffset>262890</wp:posOffset>
            </wp:positionH>
            <wp:positionV relativeFrom="paragraph">
              <wp:posOffset>178435</wp:posOffset>
            </wp:positionV>
            <wp:extent cx="5198110" cy="2131060"/>
            <wp:effectExtent l="0" t="0" r="3175" b="2540"/>
            <wp:wrapNone/>
            <wp:docPr id="79" name="图表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r>
        <w:rPr>
          <w:rFonts w:hint="eastAsia" w:eastAsia="黑体"/>
          <w:b/>
          <w:sz w:val="21"/>
          <w:lang w:eastAsia="zh-CN"/>
        </w:rPr>
        <w:t>图3.</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26</w:t>
      </w:r>
      <w:r>
        <w:rPr>
          <w:rFonts w:eastAsia="黑体"/>
          <w:b/>
          <w:sz w:val="21"/>
          <w:lang w:eastAsia="zh-CN"/>
        </w:rPr>
        <w:fldChar w:fldCharType="end"/>
      </w:r>
      <w:r>
        <w:rPr>
          <w:rFonts w:hint="eastAsia" w:eastAsia="黑体"/>
          <w:b/>
          <w:sz w:val="21"/>
          <w:lang w:eastAsia="zh-CN"/>
        </w:rPr>
        <w:t xml:space="preserve">  </w:t>
      </w:r>
      <w:r>
        <w:rPr>
          <w:rFonts w:eastAsia="黑体"/>
          <w:b/>
          <w:sz w:val="21"/>
          <w:lang w:eastAsia="zh-CN"/>
        </w:rPr>
        <w:t>2022届</w:t>
      </w:r>
      <w:r>
        <w:rPr>
          <w:rFonts w:hint="eastAsia" w:eastAsia="黑体"/>
          <w:b/>
          <w:sz w:val="21"/>
          <w:lang w:eastAsia="zh-CN"/>
        </w:rPr>
        <w:t>毕业生选择就业</w:t>
      </w:r>
      <w:r>
        <w:rPr>
          <w:rFonts w:eastAsia="黑体"/>
          <w:b/>
          <w:sz w:val="21"/>
          <w:lang w:eastAsia="zh-CN"/>
        </w:rPr>
        <w:t>地</w:t>
      </w:r>
      <w:r>
        <w:rPr>
          <w:rFonts w:hint="eastAsia" w:eastAsia="黑体"/>
          <w:b/>
          <w:sz w:val="21"/>
          <w:lang w:eastAsia="zh-CN"/>
        </w:rPr>
        <w:t>的原因分析</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Chars="0"/>
        <w:jc w:val="both"/>
        <w:textAlignment w:val="auto"/>
        <w:rPr>
          <w:rFonts w:ascii="黑体" w:hAnsi="黑体" w:eastAsia="黑体"/>
          <w:snapToGrid/>
          <w:sz w:val="21"/>
          <w:lang w:eastAsia="zh-CN"/>
        </w:rPr>
      </w:pPr>
      <w:r>
        <w:rPr>
          <w:rFonts w:ascii="黑体" w:hAnsi="黑体" w:eastAsia="黑体"/>
          <w:snapToGrid/>
          <w:sz w:val="21"/>
          <w:lang w:eastAsia="zh-CN"/>
        </w:rPr>
        <w:t>注：</w:t>
      </w:r>
      <w:r>
        <w:rPr>
          <w:rFonts w:hint="eastAsia" w:ascii="黑体" w:hAnsi="黑体" w:eastAsia="黑体"/>
          <w:snapToGrid/>
          <w:sz w:val="21"/>
          <w:lang w:eastAsia="zh-CN"/>
        </w:rPr>
        <w:t>该</w:t>
      </w:r>
      <w:r>
        <w:rPr>
          <w:rFonts w:ascii="黑体" w:hAnsi="黑体" w:eastAsia="黑体"/>
          <w:snapToGrid/>
          <w:sz w:val="21"/>
          <w:lang w:eastAsia="zh-CN"/>
        </w:rPr>
        <w:t>题目为多选题，</w:t>
      </w:r>
      <w:r>
        <w:rPr>
          <w:rFonts w:hint="eastAsia" w:ascii="黑体" w:hAnsi="黑体" w:eastAsia="黑体"/>
          <w:snapToGrid/>
          <w:sz w:val="21"/>
          <w:lang w:eastAsia="zh-CN"/>
        </w:rPr>
        <w:t>因此选项</w:t>
      </w:r>
      <w:r>
        <w:rPr>
          <w:rFonts w:ascii="黑体" w:hAnsi="黑体" w:eastAsia="黑体"/>
          <w:snapToGrid/>
          <w:sz w:val="21"/>
          <w:lang w:eastAsia="zh-CN"/>
        </w:rPr>
        <w:t>的</w:t>
      </w:r>
      <w:r>
        <w:rPr>
          <w:rFonts w:hint="eastAsia" w:ascii="黑体" w:hAnsi="黑体" w:eastAsia="黑体"/>
          <w:snapToGrid/>
          <w:sz w:val="21"/>
          <w:lang w:eastAsia="zh-CN"/>
        </w:rPr>
        <w:t>百分比之和</w:t>
      </w:r>
      <w:r>
        <w:rPr>
          <w:rFonts w:hint="eastAsia" w:eastAsia="黑体"/>
          <w:snapToGrid/>
          <w:sz w:val="21"/>
          <w:lang w:eastAsia="zh-CN"/>
        </w:rPr>
        <w:t>不是100.00%</w:t>
      </w:r>
      <w:r>
        <w:rPr>
          <w:rFonts w:ascii="黑体" w:hAnsi="黑体" w:eastAsia="黑体"/>
          <w:snapToGrid/>
          <w:sz w:val="21"/>
          <w:lang w:eastAsia="zh-CN"/>
        </w:rPr>
        <w:t>。</w:t>
      </w:r>
    </w:p>
    <w:p>
      <w:pPr>
        <w:rPr>
          <w:snapToGrid/>
          <w:sz w:val="21"/>
          <w:lang w:eastAsia="zh-CN"/>
        </w:rPr>
      </w:pPr>
      <w:r>
        <w:rPr>
          <w:rFonts w:hint="eastAsia" w:ascii="仿宋" w:hAnsi="仿宋"/>
          <w:sz w:val="21"/>
          <w:lang w:eastAsia="zh-CN"/>
        </w:rPr>
        <w:t>数据来源：北京新锦成教育技术有限公司</w:t>
      </w:r>
    </w:p>
    <w:p>
      <w:pPr>
        <w:pStyle w:val="2"/>
        <w:ind w:firstLine="640"/>
        <w:rPr>
          <w:lang w:eastAsia="zh-CN"/>
        </w:rPr>
      </w:pPr>
      <w:bookmarkStart w:id="81" w:name="_Toc151887724"/>
      <w:r>
        <w:rPr>
          <w:rFonts w:hint="eastAsia"/>
          <w:lang w:eastAsia="zh-CN"/>
        </w:rPr>
        <w:t>二</w:t>
      </w:r>
      <w:r>
        <w:rPr>
          <w:lang w:eastAsia="zh-CN"/>
        </w:rPr>
        <w:t>、就业行业特色</w:t>
      </w:r>
      <w:bookmarkEnd w:id="81"/>
    </w:p>
    <w:p>
      <w:pPr>
        <w:ind w:firstLine="640"/>
        <w:rPr>
          <w:lang w:val="zh-CN" w:eastAsia="zh-CN"/>
        </w:rPr>
      </w:pPr>
      <w:r>
        <w:rPr>
          <w:rFonts w:hint="eastAsia"/>
          <w:lang w:val="zh-CN" w:eastAsia="zh-CN"/>
        </w:rPr>
        <w:t>总体</w:t>
      </w:r>
      <w:r>
        <w:rPr>
          <w:lang w:val="zh-CN" w:eastAsia="zh-CN"/>
        </w:rPr>
        <w:t>就业行业</w:t>
      </w:r>
      <w:r>
        <w:rPr>
          <w:rFonts w:hint="eastAsia"/>
          <w:lang w:eastAsia="zh-CN"/>
        </w:rPr>
        <w:t>：</w:t>
      </w:r>
      <w:r>
        <w:rPr>
          <w:rFonts w:hint="eastAsia"/>
          <w:lang w:val="zh-CN" w:eastAsia="zh-CN"/>
        </w:rPr>
        <w:t>本校</w:t>
      </w:r>
      <w:r>
        <w:rPr>
          <w:rFonts w:hint="eastAsia"/>
          <w:lang w:eastAsia="zh-CN"/>
        </w:rPr>
        <w:t>2022届毕业生</w:t>
      </w:r>
      <w:r>
        <w:rPr>
          <w:rFonts w:hint="eastAsia"/>
          <w:lang w:val="zh-CN" w:eastAsia="zh-CN"/>
        </w:rPr>
        <w:t>的就业行业以</w:t>
      </w:r>
      <w:r>
        <w:rPr>
          <w:rFonts w:hint="eastAsia"/>
          <w:lang w:eastAsia="zh-CN"/>
        </w:rPr>
        <w:t>“制造业”（25.69%）</w:t>
      </w:r>
      <w:r>
        <w:rPr>
          <w:rFonts w:hint="eastAsia"/>
          <w:lang w:val="zh-CN" w:eastAsia="zh-CN"/>
        </w:rPr>
        <w:t>为主</w:t>
      </w:r>
      <w:r>
        <w:rPr>
          <w:rFonts w:hint="eastAsia"/>
          <w:lang w:eastAsia="zh-CN"/>
        </w:rPr>
        <w:t>，“建筑业”（14.68%</w:t>
      </w:r>
      <w:r>
        <w:rPr>
          <w:lang w:eastAsia="zh-CN"/>
        </w:rPr>
        <w:t>）</w:t>
      </w:r>
      <w:r>
        <w:rPr>
          <w:rFonts w:hint="eastAsia"/>
          <w:lang w:val="zh-CN" w:eastAsia="zh-CN"/>
        </w:rPr>
        <w:t>、</w:t>
      </w:r>
      <w:r>
        <w:rPr>
          <w:rFonts w:hint="eastAsia"/>
          <w:lang w:eastAsia="zh-CN"/>
        </w:rPr>
        <w:t>“教育”（13.76%</w:t>
      </w:r>
      <w:r>
        <w:rPr>
          <w:lang w:eastAsia="zh-CN"/>
        </w:rPr>
        <w:t>）</w:t>
      </w:r>
      <w:r>
        <w:rPr>
          <w:rFonts w:hint="eastAsia"/>
          <w:lang w:val="zh-CN" w:eastAsia="zh-CN"/>
        </w:rPr>
        <w:t>次之</w:t>
      </w:r>
      <w:r>
        <w:rPr>
          <w:lang w:val="zh-CN" w:eastAsia="zh-CN"/>
        </w:rPr>
        <w:t>。</w:t>
      </w:r>
    </w:p>
    <w:p>
      <w:pPr>
        <w:pBdr>
          <w:top w:val="none" w:color="000000" w:sz="0" w:space="0"/>
          <w:left w:val="none" w:color="000000" w:sz="0" w:space="0"/>
          <w:bottom w:val="none" w:color="000000" w:sz="0" w:space="0"/>
          <w:right w:val="none" w:color="000000" w:sz="0" w:space="0"/>
          <w:between w:val="none" w:color="000000" w:sz="0" w:space="0"/>
        </w:pBdr>
        <w:spacing w:line="360" w:lineRule="auto"/>
        <w:ind w:firstLine="480"/>
        <w:jc w:val="center"/>
        <w:rPr>
          <w:rFonts w:eastAsia="Calibri" w:cs="宋体"/>
          <w:sz w:val="24"/>
          <w:lang w:eastAsia="zh-CN"/>
        </w:rPr>
      </w:pPr>
      <w:r>
        <w:rPr>
          <w:rFonts w:eastAsia="Calibri" w:cs="宋体"/>
          <w:sz w:val="24"/>
          <w:lang w:eastAsia="zh-CN"/>
        </w:rPr>
        <w:drawing>
          <wp:inline distT="0" distB="0" distL="0" distR="0">
            <wp:extent cx="4981575" cy="2476500"/>
            <wp:effectExtent l="0" t="0" r="9525" b="0"/>
            <wp:docPr id="80"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r>
        <w:rPr>
          <w:rFonts w:hint="eastAsia" w:eastAsia="黑体"/>
          <w:b/>
          <w:sz w:val="21"/>
          <w:lang w:eastAsia="zh-CN"/>
        </w:rPr>
        <w:t>图3.</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27</w:t>
      </w:r>
      <w:r>
        <w:rPr>
          <w:rFonts w:eastAsia="黑体"/>
          <w:b/>
          <w:sz w:val="21"/>
          <w:lang w:eastAsia="zh-CN"/>
        </w:rPr>
        <w:fldChar w:fldCharType="end"/>
      </w:r>
      <w:r>
        <w:rPr>
          <w:rFonts w:hint="eastAsia" w:eastAsia="黑体"/>
          <w:b/>
          <w:sz w:val="21"/>
          <w:lang w:eastAsia="zh-CN"/>
        </w:rPr>
        <w:t xml:space="preserve">  2022届毕业生就业量最大</w:t>
      </w:r>
      <w:r>
        <w:rPr>
          <w:rFonts w:eastAsia="黑体"/>
          <w:b/>
          <w:sz w:val="21"/>
          <w:lang w:eastAsia="zh-CN"/>
        </w:rPr>
        <w:t>的前十</w:t>
      </w:r>
      <w:r>
        <w:rPr>
          <w:rFonts w:hint="eastAsia" w:eastAsia="黑体"/>
          <w:b/>
          <w:sz w:val="21"/>
          <w:lang w:eastAsia="zh-CN"/>
        </w:rPr>
        <w:t>位</w:t>
      </w:r>
      <w:r>
        <w:rPr>
          <w:rFonts w:eastAsia="黑体"/>
          <w:b/>
          <w:sz w:val="21"/>
          <w:lang w:eastAsia="zh-CN"/>
        </w:rPr>
        <w:t>行业分布</w:t>
      </w:r>
      <w:r>
        <w:rPr>
          <w:rFonts w:hint="eastAsia" w:eastAsia="黑体"/>
          <w:b/>
          <w:sz w:val="21"/>
          <w:lang w:eastAsia="zh-CN"/>
        </w:rPr>
        <w:t xml:space="preserve"> </w:t>
      </w:r>
    </w:p>
    <w:p>
      <w:pPr>
        <w:rPr>
          <w:snapToGrid/>
          <w:sz w:val="21"/>
          <w:lang w:eastAsia="zh-CN"/>
        </w:rPr>
      </w:pPr>
      <w:r>
        <w:rPr>
          <w:rFonts w:hint="eastAsia" w:ascii="仿宋" w:hAnsi="仿宋"/>
          <w:sz w:val="21"/>
          <w:lang w:eastAsia="zh-CN"/>
        </w:rPr>
        <w:t>数据来源：北京新锦成教育技术有限公司</w:t>
      </w:r>
    </w:p>
    <w:p>
      <w:pPr>
        <w:pStyle w:val="3"/>
        <w:ind w:firstLine="643"/>
        <w:rPr>
          <w:lang w:eastAsia="zh-CN"/>
        </w:rPr>
      </w:pPr>
      <w:bookmarkStart w:id="82" w:name="_Toc151887725"/>
      <w:r>
        <w:rPr>
          <w:rFonts w:hint="eastAsia"/>
          <w:lang w:eastAsia="zh-CN"/>
        </w:rPr>
        <w:t>（一）</w:t>
      </w:r>
      <w:r>
        <w:rPr>
          <w:lang w:eastAsia="zh-CN"/>
        </w:rPr>
        <w:t>各</w:t>
      </w:r>
      <w:r>
        <w:rPr>
          <w:rFonts w:hint="eastAsia"/>
          <w:lang w:eastAsia="zh-CN"/>
        </w:rPr>
        <w:t>学院就业行业分布</w:t>
      </w:r>
      <w:bookmarkEnd w:id="82"/>
    </w:p>
    <w:p>
      <w:pPr>
        <w:ind w:firstLine="640"/>
        <w:rPr>
          <w:lang w:eastAsia="zh-CN"/>
        </w:rPr>
      </w:pPr>
      <w:r>
        <w:rPr>
          <w:rFonts w:hint="eastAsia"/>
          <w:lang w:eastAsia="zh-CN"/>
        </w:rPr>
        <w:t>各学院毕业生主要就业行业分布：如下表所示。</w:t>
      </w:r>
    </w:p>
    <w:p>
      <w:pPr>
        <w:widowControl w:val="0"/>
        <w:pBdr>
          <w:top w:val="none" w:color="000000" w:sz="0" w:space="0"/>
          <w:left w:val="none" w:color="000000" w:sz="0" w:space="0"/>
          <w:bottom w:val="none" w:color="000000" w:sz="0" w:space="0"/>
          <w:right w:val="none" w:color="000000" w:sz="0" w:space="0"/>
          <w:between w:val="none" w:color="000000" w:sz="0" w:space="0"/>
        </w:pBdr>
        <w:spacing w:line="360" w:lineRule="auto"/>
        <w:ind w:firstLine="422"/>
        <w:jc w:val="center"/>
        <w:rPr>
          <w:rFonts w:eastAsia="黑体"/>
          <w:b/>
          <w:sz w:val="21"/>
          <w:lang w:eastAsia="zh-CN"/>
        </w:rPr>
      </w:pPr>
      <w:r>
        <w:rPr>
          <w:rFonts w:hint="eastAsia" w:eastAsia="黑体"/>
          <w:b/>
          <w:sz w:val="21"/>
          <w:lang w:eastAsia="zh-CN"/>
        </w:rPr>
        <w:t xml:space="preserve">表3. </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表1-2-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17</w:t>
      </w:r>
      <w:r>
        <w:rPr>
          <w:rFonts w:eastAsia="黑体"/>
          <w:b/>
          <w:sz w:val="21"/>
          <w:lang w:eastAsia="zh-CN"/>
        </w:rPr>
        <w:fldChar w:fldCharType="end"/>
      </w:r>
      <w:r>
        <w:rPr>
          <w:rFonts w:eastAsia="黑体"/>
          <w:b/>
          <w:sz w:val="21"/>
          <w:lang w:eastAsia="zh-CN"/>
        </w:rPr>
        <w:t xml:space="preserve">  </w:t>
      </w:r>
      <w:r>
        <w:rPr>
          <w:rFonts w:hint="eastAsia" w:eastAsia="黑体"/>
          <w:b/>
          <w:sz w:val="21"/>
          <w:lang w:eastAsia="zh-CN"/>
        </w:rPr>
        <w:t>2022届各学院毕业生主要就业行业分布</w:t>
      </w:r>
    </w:p>
    <w:tbl>
      <w:tblPr>
        <w:tblStyle w:val="37"/>
        <w:tblW w:w="5000" w:type="pct"/>
        <w:jc w:val="cente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2409"/>
        <w:gridCol w:w="7553"/>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jc w:val="center"/>
        </w:trPr>
        <w:tc>
          <w:tcPr>
            <w:tcW w:w="1209" w:type="pct"/>
            <w:tcBorders>
              <w:top w:val="single" w:color="0F6FC6" w:sz="4" w:space="0"/>
              <w:left w:val="single" w:color="0F6FC6" w:sz="4" w:space="0"/>
              <w:bottom w:val="single" w:color="0F6FC6" w:sz="4" w:space="0"/>
              <w:right w:val="nil"/>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color w:val="CCE8CF"/>
                <w:sz w:val="21"/>
                <w:lang w:eastAsia="zh-CN"/>
              </w:rPr>
            </w:pPr>
            <w:r>
              <w:rPr>
                <w:rFonts w:hint="eastAsia" w:ascii="微软雅黑" w:hAnsi="微软雅黑" w:eastAsia="微软雅黑" w:cs="微软雅黑"/>
                <w:b/>
                <w:bCs/>
                <w:snapToGrid/>
                <w:color w:val="CCE8CF"/>
                <w:sz w:val="21"/>
                <w:lang w:eastAsia="zh-CN"/>
              </w:rPr>
              <w:t>学院</w:t>
            </w:r>
          </w:p>
        </w:tc>
        <w:tc>
          <w:tcPr>
            <w:tcW w:w="3791" w:type="pct"/>
            <w:tcBorders>
              <w:top w:val="single" w:color="0F6FC6" w:sz="4" w:space="0"/>
              <w:bottom w:val="single" w:color="0F6FC6" w:sz="4" w:space="0"/>
              <w:right w:val="single" w:color="0F6FC6"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color w:val="CCE8CF"/>
                <w:sz w:val="21"/>
                <w:lang w:eastAsia="zh-CN"/>
              </w:rPr>
            </w:pPr>
            <w:r>
              <w:rPr>
                <w:rFonts w:hint="eastAsia" w:eastAsia="Calibri"/>
                <w:b/>
                <w:bCs/>
                <w:snapToGrid/>
                <w:color w:val="CCE8CF"/>
                <w:sz w:val="21"/>
                <w:lang w:eastAsia="zh-CN"/>
              </w:rPr>
              <w:t>主要就业行业前十分布</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209"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化学与材料工程学院</w:t>
            </w:r>
          </w:p>
        </w:tc>
        <w:tc>
          <w:tcPr>
            <w:tcW w:w="3791"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Calibri"/>
                <w:snapToGrid/>
                <w:sz w:val="21"/>
                <w:lang w:eastAsia="zh-CN"/>
              </w:rPr>
            </w:pPr>
            <w:r>
              <w:rPr>
                <w:rFonts w:hint="eastAsia" w:eastAsia="宋体"/>
                <w:snapToGrid/>
                <w:sz w:val="21"/>
                <w:lang w:eastAsia="zh-CN"/>
              </w:rPr>
              <w:t>制造业（88.89%）、租赁和商务服务业（5.56%）、公共管理、社会保障和社会组织（5.56%）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209"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城建学院</w:t>
            </w:r>
          </w:p>
        </w:tc>
        <w:tc>
          <w:tcPr>
            <w:tcW w:w="3791"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Calibri"/>
                <w:snapToGrid/>
                <w:sz w:val="21"/>
                <w:lang w:eastAsia="zh-CN"/>
              </w:rPr>
            </w:pPr>
            <w:r>
              <w:rPr>
                <w:rFonts w:hint="eastAsia" w:eastAsia="宋体"/>
                <w:snapToGrid/>
                <w:sz w:val="21"/>
                <w:lang w:eastAsia="zh-CN"/>
              </w:rPr>
              <w:t>建筑业（59.09%）、教育（13.64%）、科学研究和技术服务业（4.55%）、农、林、牧、渔业（4.55%）、房地产业（4.55%）、制造业（4.55%）、批发和零售业（4.55%）、电力、热力、燃气及水生产和供应业（4.55%）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209"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国际护理学院</w:t>
            </w:r>
          </w:p>
        </w:tc>
        <w:tc>
          <w:tcPr>
            <w:tcW w:w="3791"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Calibri"/>
                <w:snapToGrid/>
                <w:sz w:val="21"/>
                <w:lang w:eastAsia="zh-CN"/>
              </w:rPr>
            </w:pPr>
            <w:r>
              <w:rPr>
                <w:rFonts w:hint="eastAsia" w:eastAsia="宋体"/>
                <w:snapToGrid/>
                <w:sz w:val="21"/>
                <w:lang w:eastAsia="zh-CN"/>
              </w:rPr>
              <w:t>卫生和社会工作（50.00%）、教育（30.00%）、信息传输、软件和信息技术服务业（10.00%）、科学研究和技术服务业（10.00%）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209"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健康科学学院</w:t>
            </w:r>
          </w:p>
        </w:tc>
        <w:tc>
          <w:tcPr>
            <w:tcW w:w="3791"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Calibri"/>
                <w:snapToGrid/>
                <w:sz w:val="21"/>
                <w:lang w:eastAsia="zh-CN"/>
              </w:rPr>
            </w:pPr>
            <w:r>
              <w:rPr>
                <w:rFonts w:hint="eastAsia" w:eastAsia="宋体"/>
                <w:snapToGrid/>
                <w:sz w:val="21"/>
                <w:lang w:eastAsia="zh-CN"/>
              </w:rPr>
              <w:t>教育（33.33%）、卫生和社会工作（11.11%）、住宿和餐饮业（11.11%）、军队（11.11%）、农、林、牧、渔业（11.11%）、居民服务、修理和其他服务业（11.11%）、房地产业（11.11%）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209"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机电工程学院</w:t>
            </w:r>
          </w:p>
        </w:tc>
        <w:tc>
          <w:tcPr>
            <w:tcW w:w="3791"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Calibri"/>
                <w:snapToGrid/>
                <w:sz w:val="21"/>
                <w:lang w:eastAsia="zh-CN"/>
              </w:rPr>
            </w:pPr>
            <w:r>
              <w:rPr>
                <w:rFonts w:hint="eastAsia" w:eastAsia="宋体"/>
                <w:snapToGrid/>
                <w:sz w:val="21"/>
                <w:lang w:eastAsia="zh-CN"/>
              </w:rPr>
              <w:t>制造业（29.63%）、信息传输、软件和信息技术服务业（11.11%）、交通运输、仓储和邮政业（11.11%）、教育（7.41%）、居民服务、修理和其他服务业（7.41%）、建筑业（7.41%）、租赁和商务服务业（7.41%）、住宿和餐饮业（3.70%）、军队（3.70%）、农、林、牧、渔业（3.70%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209"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信息工程学院</w:t>
            </w:r>
          </w:p>
        </w:tc>
        <w:tc>
          <w:tcPr>
            <w:tcW w:w="3791"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Calibri"/>
                <w:snapToGrid/>
                <w:sz w:val="21"/>
                <w:lang w:eastAsia="zh-CN"/>
              </w:rPr>
            </w:pPr>
            <w:r>
              <w:rPr>
                <w:rFonts w:hint="eastAsia" w:eastAsia="宋体"/>
                <w:snapToGrid/>
                <w:sz w:val="21"/>
                <w:lang w:eastAsia="zh-CN"/>
              </w:rPr>
              <w:t>公共管理、社会保障和社会组织（23.81%）、教育（19.05%）、信息传输、软件和信息技术服务业（9.52%）、制造业（9.52%）、交通运输、仓储和邮政业（9.52%）、科学研究和技术服务业（4.76%）、住宿和餐饮业（4.76%）、房地产业（4.76%）、建筑业（4.76%）、电力、热力、燃气及水生产和供应业（4.76%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209"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海事学院</w:t>
            </w:r>
          </w:p>
        </w:tc>
        <w:tc>
          <w:tcPr>
            <w:tcW w:w="3791"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Calibri"/>
                <w:snapToGrid/>
                <w:sz w:val="21"/>
                <w:lang w:eastAsia="zh-CN"/>
              </w:rPr>
            </w:pPr>
            <w:r>
              <w:rPr>
                <w:rFonts w:hint="eastAsia" w:eastAsia="宋体"/>
                <w:snapToGrid/>
                <w:sz w:val="21"/>
                <w:lang w:eastAsia="zh-CN"/>
              </w:rPr>
              <w:t>*制造业（50.00%）、批发和零售业（50.00%）</w:t>
            </w:r>
          </w:p>
        </w:tc>
      </w:tr>
    </w:tbl>
    <w:p>
      <w:pPr>
        <w:rPr>
          <w:snapToGrid/>
          <w:sz w:val="21"/>
          <w:lang w:eastAsia="zh-CN"/>
        </w:rPr>
      </w:pPr>
      <w:r>
        <w:rPr>
          <w:rFonts w:hint="eastAsia" w:ascii="仿宋" w:hAnsi="仿宋"/>
          <w:sz w:val="21"/>
          <w:lang w:eastAsia="zh-CN"/>
        </w:rPr>
        <w:t>数据来源：北京新锦成教育技术有限公司</w:t>
      </w:r>
    </w:p>
    <w:p>
      <w:pPr>
        <w:pStyle w:val="3"/>
        <w:ind w:firstLine="643"/>
        <w:rPr>
          <w:lang w:eastAsia="zh-CN"/>
        </w:rPr>
      </w:pPr>
      <w:bookmarkStart w:id="83" w:name="_Toc151887726"/>
      <w:r>
        <w:rPr>
          <w:rFonts w:hint="eastAsia"/>
          <w:lang w:eastAsia="zh-CN"/>
        </w:rPr>
        <w:t>（二）</w:t>
      </w:r>
      <w:r>
        <w:rPr>
          <w:lang w:eastAsia="zh-CN"/>
        </w:rPr>
        <w:t>各</w:t>
      </w:r>
      <w:r>
        <w:rPr>
          <w:rFonts w:hint="eastAsia"/>
          <w:lang w:eastAsia="zh-CN"/>
        </w:rPr>
        <w:t>专业就业行业分布</w:t>
      </w:r>
      <w:bookmarkEnd w:id="83"/>
    </w:p>
    <w:p>
      <w:pPr>
        <w:widowControl w:val="0"/>
        <w:pBdr>
          <w:top w:val="none" w:color="000000" w:sz="0" w:space="0"/>
          <w:left w:val="none" w:color="000000" w:sz="0" w:space="0"/>
          <w:bottom w:val="none" w:color="000000" w:sz="0" w:space="0"/>
          <w:right w:val="none" w:color="000000" w:sz="0" w:space="0"/>
          <w:between w:val="none" w:color="000000" w:sz="0" w:space="0"/>
        </w:pBdr>
        <w:spacing w:before="240" w:beforeLines="100" w:line="360" w:lineRule="auto"/>
        <w:ind w:firstLine="422"/>
        <w:jc w:val="center"/>
        <w:rPr>
          <w:rFonts w:eastAsia="黑体"/>
          <w:b/>
          <w:sz w:val="21"/>
          <w:lang w:eastAsia="zh-CN"/>
        </w:rPr>
      </w:pPr>
      <w:r>
        <w:rPr>
          <w:rFonts w:hint="eastAsia" w:eastAsia="黑体"/>
          <w:b/>
          <w:sz w:val="21"/>
          <w:lang w:eastAsia="zh-CN"/>
        </w:rPr>
        <w:t xml:space="preserve">表3. </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表1-2-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18</w:t>
      </w:r>
      <w:r>
        <w:rPr>
          <w:rFonts w:eastAsia="黑体"/>
          <w:b/>
          <w:sz w:val="21"/>
          <w:lang w:eastAsia="zh-CN"/>
        </w:rPr>
        <w:fldChar w:fldCharType="end"/>
      </w:r>
      <w:r>
        <w:rPr>
          <w:rFonts w:eastAsia="黑体"/>
          <w:b/>
          <w:sz w:val="21"/>
          <w:lang w:eastAsia="zh-CN"/>
        </w:rPr>
        <w:t xml:space="preserve">  </w:t>
      </w:r>
      <w:r>
        <w:rPr>
          <w:rFonts w:hint="eastAsia" w:eastAsia="黑体"/>
          <w:b/>
          <w:sz w:val="21"/>
          <w:lang w:eastAsia="zh-CN"/>
        </w:rPr>
        <w:t>2022届各专业毕业生主要就业行业分布</w:t>
      </w:r>
    </w:p>
    <w:tbl>
      <w:tblPr>
        <w:tblStyle w:val="37"/>
        <w:tblW w:w="5000" w:type="pct"/>
        <w:jc w:val="cente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2409"/>
        <w:gridCol w:w="7553"/>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jc w:val="center"/>
        </w:trPr>
        <w:tc>
          <w:tcPr>
            <w:tcW w:w="1209" w:type="pct"/>
            <w:tcBorders>
              <w:top w:val="single" w:color="0F6FC6" w:sz="4" w:space="0"/>
              <w:left w:val="single" w:color="0F6FC6" w:sz="4" w:space="0"/>
              <w:bottom w:val="single" w:color="0F6FC6" w:sz="4" w:space="0"/>
              <w:right w:val="nil"/>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color w:val="CCE8CF"/>
                <w:sz w:val="21"/>
                <w:lang w:eastAsia="zh-CN"/>
              </w:rPr>
            </w:pPr>
            <w:r>
              <w:rPr>
                <w:rFonts w:hint="eastAsia" w:eastAsia="Calibri"/>
                <w:b/>
                <w:bCs/>
                <w:snapToGrid/>
                <w:color w:val="CCE8CF"/>
                <w:sz w:val="21"/>
                <w:lang w:eastAsia="zh-CN"/>
              </w:rPr>
              <w:t>专业</w:t>
            </w:r>
          </w:p>
        </w:tc>
        <w:tc>
          <w:tcPr>
            <w:tcW w:w="3791" w:type="pct"/>
            <w:tcBorders>
              <w:top w:val="single" w:color="0F6FC6" w:sz="4" w:space="0"/>
              <w:bottom w:val="single" w:color="0F6FC6" w:sz="4" w:space="0"/>
              <w:right w:val="single" w:color="0F6FC6"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color w:val="CCE8CF"/>
                <w:sz w:val="21"/>
                <w:lang w:eastAsia="zh-CN"/>
              </w:rPr>
            </w:pPr>
            <w:r>
              <w:rPr>
                <w:rFonts w:hint="eastAsia" w:eastAsia="Calibri"/>
                <w:b/>
                <w:bCs/>
                <w:snapToGrid/>
                <w:color w:val="CCE8CF"/>
                <w:sz w:val="21"/>
                <w:lang w:eastAsia="zh-CN"/>
              </w:rPr>
              <w:t>主要就业行业前十分布</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209"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制药工程</w:t>
            </w:r>
          </w:p>
        </w:tc>
        <w:tc>
          <w:tcPr>
            <w:tcW w:w="3791"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制造业（87.50%）、公共管理、社会保障和社会组织（6.25%）、租赁和商务服务业（6.25%）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209"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土木工程</w:t>
            </w:r>
          </w:p>
        </w:tc>
        <w:tc>
          <w:tcPr>
            <w:tcW w:w="3791"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建筑业（59.09%）、教育（13.64%）、制造业（4.55%）、科学研究和技术服务业（4.55%）、批发和零售业（4.55%）、农、林、牧、渔业（4.55%）、房地产业（4.55%）、电力、热力、燃气及水生产和供应业（4.55%）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209"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护理</w:t>
            </w:r>
          </w:p>
        </w:tc>
        <w:tc>
          <w:tcPr>
            <w:tcW w:w="3791"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卫生和社会工作（50.00%）、教育（30.00%）、信息传输、软件和信息技术服务业（10.00%）、科学研究和技术服务业（10.00%）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209"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大数据技术与应用</w:t>
            </w:r>
          </w:p>
        </w:tc>
        <w:tc>
          <w:tcPr>
            <w:tcW w:w="3791"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教育（36.36%）、公共管理、社会保障和社会组织（18.18%）、交通运输、仓储和邮政业（9.09%）、信息传输、软件和信息技术服务业（9.09%）、房地产业（9.09%）、建筑业（9.09%）、电力、热力、燃气及水生产和供应业（9.09%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209"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健康服务与管理</w:t>
            </w:r>
          </w:p>
        </w:tc>
        <w:tc>
          <w:tcPr>
            <w:tcW w:w="3791"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教育（33.33%）、住宿和餐饮业（11.11%）、军队（11.11%）、农、林、牧、渔业（11.11%）、卫生和社会工作（11.11%）、居民服务、修理和其他服务业（11.11%）、房地产业（11.11%）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209"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物联网工程</w:t>
            </w:r>
          </w:p>
        </w:tc>
        <w:tc>
          <w:tcPr>
            <w:tcW w:w="3791"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公共管理、社会保障和社会组织（30.00%）、制造业（20.00%）、交通运输、仓储和邮政业（10.00%）、住宿和餐饮业（10.00%）、信息传输、软件和信息技术服务业（10.00%）、科学研究和技术服务业（10.00%）、金融业（10.00%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209"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机械设计制造类</w:t>
            </w:r>
          </w:p>
        </w:tc>
        <w:tc>
          <w:tcPr>
            <w:tcW w:w="3791"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制造业（29.63%）、交通运输、仓储和邮政业（11.11%）、信息传输、软件和信息技术服务业（11.11%）、租赁和商务服务业（7.41%）、居民服务、修理和其他服务业（7.41%）、教育（7.41%）、建筑业（7.41%）、住宿和餐饮业（3.70%）、军队（3.70%）、农、林、牧、渔业（3.70%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209"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化学工程与工艺</w:t>
            </w:r>
          </w:p>
        </w:tc>
        <w:tc>
          <w:tcPr>
            <w:tcW w:w="3791"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*制造业（100.00%）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209"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水路运输与海事管理</w:t>
            </w:r>
          </w:p>
        </w:tc>
        <w:tc>
          <w:tcPr>
            <w:tcW w:w="3791"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*制造业（50.00%）、批发和零售业（50.00%）</w:t>
            </w:r>
          </w:p>
        </w:tc>
      </w:tr>
    </w:tbl>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Chars="0"/>
        <w:jc w:val="both"/>
        <w:textAlignment w:val="auto"/>
        <w:rPr>
          <w:rFonts w:ascii="黑体" w:hAnsi="黑体" w:eastAsia="黑体"/>
          <w:snapToGrid/>
          <w:sz w:val="21"/>
          <w:lang w:eastAsia="zh-CN"/>
        </w:rPr>
      </w:pPr>
      <w:r>
        <w:rPr>
          <w:rFonts w:hint="eastAsia" w:ascii="黑体" w:hAnsi="黑体" w:eastAsia="黑体"/>
          <w:snapToGrid/>
          <w:sz w:val="21"/>
          <w:lang w:eastAsia="zh-CN"/>
        </w:rPr>
        <w:t>注：*专业样本量较小，其分析结果仅供参考，不纳入到报告此处分析范畴。</w:t>
      </w:r>
    </w:p>
    <w:p>
      <w:pPr>
        <w:rPr>
          <w:snapToGrid/>
          <w:sz w:val="21"/>
          <w:lang w:eastAsia="zh-CN"/>
        </w:rPr>
      </w:pPr>
      <w:r>
        <w:rPr>
          <w:rFonts w:hint="eastAsia" w:ascii="仿宋" w:hAnsi="仿宋"/>
          <w:sz w:val="21"/>
          <w:lang w:eastAsia="zh-CN"/>
        </w:rPr>
        <w:t>数据来源：北京新锦成教育技术有限公司</w:t>
      </w:r>
    </w:p>
    <w:p>
      <w:pPr>
        <w:pStyle w:val="3"/>
        <w:ind w:firstLine="643"/>
        <w:rPr>
          <w:lang w:eastAsia="zh-CN"/>
        </w:rPr>
      </w:pPr>
      <w:bookmarkStart w:id="84" w:name="_Toc151887727"/>
      <w:r>
        <w:rPr>
          <w:rFonts w:hint="eastAsia"/>
          <w:lang w:eastAsia="zh-CN"/>
        </w:rPr>
        <w:t>（三）主要就业行业就业质量差异分析</w:t>
      </w:r>
      <w:bookmarkEnd w:id="84"/>
    </w:p>
    <w:p>
      <w:pPr>
        <w:ind w:firstLine="640"/>
        <w:rPr>
          <w:lang w:eastAsia="zh-CN"/>
        </w:rPr>
      </w:pPr>
      <w:r>
        <w:rPr>
          <w:rFonts w:hint="eastAsia"/>
          <w:lang w:eastAsia="zh-CN"/>
        </w:rPr>
        <w:t>主要就业行业就业质量差异分析：从月均收入来看，教育（6057元）、卫生和社会工作（5667元）薪酬优势较高。从工作满意度来看，在教育等行业就业的毕业生对目前工作总体的满意度最高，均达100.00%。从离职率来看，在卫生和社会工作就业的毕业生的离职率最低，从未离职</w:t>
      </w:r>
      <w:r>
        <w:rPr>
          <w:lang w:eastAsia="zh-CN"/>
        </w:rPr>
        <w:t>。</w:t>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r>
        <w:rPr>
          <w:rFonts w:hint="eastAsia" w:eastAsia="黑体"/>
          <w:b/>
          <w:sz w:val="21"/>
          <w:lang w:eastAsia="zh-CN"/>
        </w:rPr>
        <w:t>表3.</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表1-2-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19</w:t>
      </w:r>
      <w:r>
        <w:rPr>
          <w:rFonts w:eastAsia="黑体"/>
          <w:b/>
          <w:sz w:val="21"/>
          <w:lang w:eastAsia="zh-CN"/>
        </w:rPr>
        <w:fldChar w:fldCharType="end"/>
      </w:r>
      <w:r>
        <w:rPr>
          <w:rFonts w:eastAsia="宋体"/>
          <w:b/>
          <w:sz w:val="24"/>
          <w:szCs w:val="24"/>
          <w:lang w:eastAsia="zh-CN"/>
        </w:rPr>
        <w:t xml:space="preserve">  2022届不同就业领域</w:t>
      </w:r>
      <w:r>
        <w:rPr>
          <w:rFonts w:hint="eastAsia" w:eastAsia="宋体"/>
          <w:b/>
          <w:sz w:val="24"/>
          <w:szCs w:val="24"/>
          <w:lang w:eastAsia="zh-CN"/>
        </w:rPr>
        <w:t>毕业生就业</w:t>
      </w:r>
      <w:r>
        <w:rPr>
          <w:rFonts w:eastAsia="宋体"/>
          <w:b/>
          <w:sz w:val="24"/>
          <w:szCs w:val="24"/>
          <w:lang w:eastAsia="zh-CN"/>
        </w:rPr>
        <w:t>质量</w:t>
      </w:r>
      <w:r>
        <w:rPr>
          <w:rFonts w:hint="eastAsia" w:eastAsia="宋体"/>
          <w:b/>
          <w:sz w:val="24"/>
          <w:szCs w:val="24"/>
          <w:lang w:eastAsia="zh-CN"/>
        </w:rPr>
        <w:t>差异分析</w:t>
      </w:r>
    </w:p>
    <w:tbl>
      <w:tblPr>
        <w:tblStyle w:val="37"/>
        <w:tblW w:w="5000" w:type="pct"/>
        <w:jc w:val="cente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4530"/>
        <w:gridCol w:w="2277"/>
        <w:gridCol w:w="1710"/>
        <w:gridCol w:w="1445"/>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jc w:val="center"/>
        </w:trPr>
        <w:tc>
          <w:tcPr>
            <w:tcW w:w="0" w:type="auto"/>
            <w:tcBorders>
              <w:top w:val="single" w:color="0F6FC6" w:sz="4" w:space="0"/>
              <w:left w:val="single" w:color="0F6FC6" w:sz="4" w:space="0"/>
              <w:bottom w:val="single" w:color="0F6FC6" w:sz="4" w:space="0"/>
              <w:right w:val="nil"/>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ascii="宋体" w:hAnsi="宋体" w:eastAsia="宋体"/>
                <w:b/>
                <w:bCs/>
                <w:snapToGrid/>
                <w:color w:val="CCE8CF"/>
                <w:sz w:val="21"/>
                <w:lang w:eastAsia="zh-CN"/>
              </w:rPr>
              <w:t>主要就业行业</w:t>
            </w:r>
          </w:p>
        </w:tc>
        <w:tc>
          <w:tcPr>
            <w:tcW w:w="0" w:type="auto"/>
            <w:tcBorders>
              <w:top w:val="single" w:color="0F6FC6" w:sz="4" w:space="0"/>
              <w:bottom w:val="single" w:color="0F6FC6" w:sz="4" w:space="0"/>
              <w:right w:val="nil"/>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ascii="宋体" w:hAnsi="宋体" w:eastAsia="宋体"/>
                <w:b/>
                <w:bCs/>
                <w:snapToGrid/>
                <w:color w:val="CCE8CF"/>
                <w:sz w:val="21"/>
                <w:lang w:eastAsia="zh-CN"/>
              </w:rPr>
              <w:t>月均收入（元）</w:t>
            </w:r>
          </w:p>
        </w:tc>
        <w:tc>
          <w:tcPr>
            <w:tcW w:w="0" w:type="auto"/>
            <w:tcBorders>
              <w:top w:val="single" w:color="0F6FC6" w:sz="4" w:space="0"/>
              <w:bottom w:val="single" w:color="0F6FC6" w:sz="4" w:space="0"/>
              <w:right w:val="nil"/>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ascii="宋体" w:hAnsi="宋体" w:eastAsia="宋体"/>
                <w:b/>
                <w:bCs/>
                <w:snapToGrid/>
                <w:color w:val="CCE8CF"/>
                <w:sz w:val="21"/>
                <w:lang w:eastAsia="zh-CN"/>
              </w:rPr>
              <w:t>工作满意度</w:t>
            </w:r>
          </w:p>
        </w:tc>
        <w:tc>
          <w:tcPr>
            <w:tcW w:w="0" w:type="auto"/>
            <w:tcBorders>
              <w:top w:val="single" w:color="0F6FC6" w:sz="4" w:space="0"/>
              <w:bottom w:val="single" w:color="0F6FC6" w:sz="4" w:space="0"/>
              <w:right w:val="single" w:color="0F6FC6"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ascii="宋体" w:hAnsi="宋体" w:eastAsia="宋体"/>
                <w:b/>
                <w:bCs/>
                <w:snapToGrid/>
                <w:color w:val="CCE8CF"/>
                <w:sz w:val="21"/>
                <w:lang w:eastAsia="zh-CN"/>
              </w:rPr>
              <w:t>离职率</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教育</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6057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100.00%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14.29%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卫生和社会工作</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5667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100.00%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制造业</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5330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100.00%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23.08%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信息传输、软件和信息技术服务业</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5083</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100.00%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33.33%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建筑业</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5071</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85.71%</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25.00%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交通运输、仓储和邮政业</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4160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80.00%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公共管理、社会保障和社会组织</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2600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100.00%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军队</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*8000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*100.00%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批发和零售业</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*6000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*100.00%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科学研究和技术服务业</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*5333</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*100.00%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居民服务、修理和其他服务业</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*4333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*100.00%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*33.33%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租赁和商务服务业</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*4167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*100.00%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金融业</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*100.00%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住宿和餐饮业</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*3767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*100.00%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*66.67%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农、林、牧、渔业</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*2133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*100.00%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*50.00%</w:t>
            </w:r>
          </w:p>
        </w:tc>
      </w:tr>
    </w:tbl>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Chars="0"/>
        <w:jc w:val="both"/>
        <w:textAlignment w:val="auto"/>
        <w:rPr>
          <w:rFonts w:ascii="黑体" w:hAnsi="黑体" w:eastAsia="黑体"/>
          <w:snapToGrid/>
          <w:sz w:val="21"/>
          <w:lang w:eastAsia="zh-CN"/>
        </w:rPr>
      </w:pPr>
      <w:r>
        <w:rPr>
          <w:rFonts w:ascii="黑体" w:hAnsi="黑体" w:eastAsia="黑体"/>
          <w:snapToGrid/>
          <w:sz w:val="21"/>
          <w:lang w:eastAsia="zh-CN"/>
        </w:rPr>
        <w:t>注：主要就业行业指就业人数≥</w:t>
      </w:r>
      <w:r>
        <w:rPr>
          <w:rFonts w:eastAsia="黑体"/>
          <w:snapToGrid/>
          <w:sz w:val="21"/>
          <w:lang w:eastAsia="zh-CN"/>
        </w:rPr>
        <w:t>15人</w:t>
      </w:r>
      <w:r>
        <w:rPr>
          <w:rFonts w:ascii="黑体" w:hAnsi="黑体" w:eastAsia="黑体"/>
          <w:snapToGrid/>
          <w:sz w:val="21"/>
          <w:lang w:eastAsia="zh-CN"/>
        </w:rPr>
        <w:t>的行业。</w:t>
      </w:r>
    </w:p>
    <w:p>
      <w:pPr>
        <w:rPr>
          <w:snapToGrid/>
          <w:sz w:val="21"/>
          <w:lang w:eastAsia="zh-CN"/>
        </w:rPr>
      </w:pPr>
      <w:r>
        <w:rPr>
          <w:rFonts w:hint="eastAsia" w:ascii="仿宋" w:hAnsi="仿宋"/>
          <w:sz w:val="21"/>
          <w:lang w:eastAsia="zh-CN"/>
        </w:rPr>
        <w:t>数据来源：北京新锦成教育技术有限公司</w:t>
      </w:r>
    </w:p>
    <w:p>
      <w:pPr>
        <w:pStyle w:val="2"/>
        <w:ind w:firstLine="640"/>
        <w:rPr>
          <w:lang w:eastAsia="zh-CN"/>
        </w:rPr>
      </w:pPr>
      <w:bookmarkStart w:id="85" w:name="_Toc151887728"/>
      <w:r>
        <w:rPr>
          <w:rFonts w:hint="eastAsia"/>
          <w:lang w:eastAsia="zh-CN"/>
        </w:rPr>
        <w:t>三</w:t>
      </w:r>
      <w:r>
        <w:rPr>
          <w:lang w:eastAsia="zh-CN"/>
        </w:rPr>
        <w:t>、就业职业特色</w:t>
      </w:r>
      <w:bookmarkEnd w:id="85"/>
    </w:p>
    <w:p>
      <w:pPr>
        <w:ind w:firstLine="640"/>
        <w:rPr>
          <w:lang w:eastAsia="zh-CN"/>
        </w:rPr>
      </w:pPr>
      <w:r>
        <w:rPr>
          <w:rFonts w:hint="eastAsia"/>
          <w:lang w:eastAsia="zh-CN"/>
        </w:rPr>
        <w:t>总体</w:t>
      </w:r>
      <w:r>
        <w:rPr>
          <w:lang w:eastAsia="zh-CN"/>
        </w:rPr>
        <w:t>就业</w:t>
      </w:r>
      <w:r>
        <w:rPr>
          <w:rFonts w:hint="eastAsia"/>
          <w:lang w:eastAsia="zh-CN"/>
        </w:rPr>
        <w:t>职业：2022届毕业生从事的职业</w:t>
      </w:r>
      <w:r>
        <w:rPr>
          <w:rFonts w:hint="eastAsia"/>
          <w:lang w:val="zh-CN" w:eastAsia="zh-CN"/>
        </w:rPr>
        <w:t>以“医疗卫生类”为主</w:t>
      </w:r>
      <w:r>
        <w:rPr>
          <w:lang w:val="zh-CN" w:eastAsia="zh-CN"/>
        </w:rPr>
        <w:t>（</w:t>
      </w:r>
      <w:r>
        <w:rPr>
          <w:rFonts w:hint="eastAsia"/>
          <w:lang w:val="zh-CN" w:eastAsia="zh-CN"/>
        </w:rPr>
        <w:t>20.83%</w:t>
      </w:r>
      <w:r>
        <w:rPr>
          <w:lang w:val="zh-CN" w:eastAsia="zh-CN"/>
        </w:rPr>
        <w:t>）</w:t>
      </w:r>
      <w:r>
        <w:rPr>
          <w:lang w:eastAsia="zh-CN"/>
        </w:rPr>
        <w:t>。</w:t>
      </w:r>
    </w:p>
    <w:p>
      <w:pPr>
        <w:pBdr>
          <w:top w:val="none" w:color="000000" w:sz="0" w:space="0"/>
          <w:left w:val="none" w:color="000000" w:sz="0" w:space="0"/>
          <w:bottom w:val="none" w:color="000000" w:sz="0" w:space="0"/>
          <w:right w:val="none" w:color="000000" w:sz="0" w:space="0"/>
          <w:between w:val="none" w:color="000000" w:sz="0" w:space="0"/>
        </w:pBdr>
        <w:spacing w:before="50" w:after="50" w:line="360" w:lineRule="auto"/>
        <w:ind w:firstLine="480"/>
        <w:jc w:val="center"/>
        <w:rPr>
          <w:rFonts w:eastAsia="宋体"/>
          <w:sz w:val="24"/>
          <w:szCs w:val="24"/>
          <w:lang w:eastAsia="zh-CN"/>
        </w:rPr>
      </w:pPr>
      <w:r>
        <w:rPr>
          <w:rFonts w:eastAsia="宋体"/>
          <w:sz w:val="24"/>
          <w:szCs w:val="24"/>
          <w:lang w:eastAsia="zh-CN"/>
        </w:rPr>
        <w:drawing>
          <wp:inline distT="0" distB="0" distL="0" distR="0">
            <wp:extent cx="4581525" cy="2114550"/>
            <wp:effectExtent l="0" t="0" r="3175" b="6350"/>
            <wp:docPr id="81"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r>
        <w:rPr>
          <w:rFonts w:hint="eastAsia" w:eastAsia="黑体"/>
          <w:b/>
          <w:sz w:val="21"/>
          <w:lang w:eastAsia="zh-CN"/>
        </w:rPr>
        <w:t xml:space="preserve">图3. </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28</w:t>
      </w:r>
      <w:r>
        <w:rPr>
          <w:rFonts w:eastAsia="黑体"/>
          <w:b/>
          <w:sz w:val="21"/>
          <w:lang w:eastAsia="zh-CN"/>
        </w:rPr>
        <w:fldChar w:fldCharType="end"/>
      </w:r>
      <w:r>
        <w:rPr>
          <w:rFonts w:hint="eastAsia" w:eastAsia="黑体"/>
          <w:b/>
          <w:sz w:val="21"/>
          <w:lang w:eastAsia="zh-CN"/>
        </w:rPr>
        <w:t xml:space="preserve">  2022届毕业生就业量最大</w:t>
      </w:r>
      <w:r>
        <w:rPr>
          <w:rFonts w:eastAsia="黑体"/>
          <w:b/>
          <w:sz w:val="21"/>
          <w:lang w:eastAsia="zh-CN"/>
        </w:rPr>
        <w:t>的</w:t>
      </w:r>
      <w:r>
        <w:rPr>
          <w:rFonts w:hint="eastAsia" w:eastAsia="黑体"/>
          <w:b/>
          <w:sz w:val="21"/>
          <w:lang w:eastAsia="zh-CN"/>
        </w:rPr>
        <w:t>前十位</w:t>
      </w:r>
      <w:r>
        <w:rPr>
          <w:rFonts w:eastAsia="黑体"/>
          <w:b/>
          <w:sz w:val="21"/>
          <w:lang w:eastAsia="zh-CN"/>
        </w:rPr>
        <w:t>职业分布</w:t>
      </w:r>
      <w:r>
        <w:rPr>
          <w:rFonts w:hint="eastAsia" w:eastAsia="黑体"/>
          <w:b/>
          <w:sz w:val="21"/>
          <w:lang w:eastAsia="zh-CN"/>
        </w:rPr>
        <w:t xml:space="preserve"> </w:t>
      </w:r>
    </w:p>
    <w:p>
      <w:pPr>
        <w:rPr>
          <w:snapToGrid/>
          <w:sz w:val="21"/>
          <w:lang w:eastAsia="zh-CN"/>
        </w:rPr>
      </w:pPr>
      <w:r>
        <w:rPr>
          <w:rFonts w:hint="eastAsia" w:ascii="仿宋" w:hAnsi="仿宋"/>
          <w:sz w:val="21"/>
          <w:lang w:eastAsia="zh-CN"/>
        </w:rPr>
        <w:t>数据来源：北京新锦成教育技术有限公司</w:t>
      </w:r>
    </w:p>
    <w:p>
      <w:pPr>
        <w:pStyle w:val="3"/>
        <w:ind w:firstLine="643"/>
        <w:rPr>
          <w:lang w:eastAsia="zh-CN"/>
        </w:rPr>
      </w:pPr>
      <w:bookmarkStart w:id="86" w:name="_Toc151887729"/>
      <w:r>
        <w:rPr>
          <w:rFonts w:hint="eastAsia"/>
          <w:lang w:eastAsia="zh-CN"/>
        </w:rPr>
        <w:t>（一）</w:t>
      </w:r>
      <w:r>
        <w:rPr>
          <w:lang w:eastAsia="zh-CN"/>
        </w:rPr>
        <w:t>各</w:t>
      </w:r>
      <w:r>
        <w:rPr>
          <w:rFonts w:hint="eastAsia"/>
          <w:lang w:eastAsia="zh-CN"/>
        </w:rPr>
        <w:t>学院就业职业分布</w:t>
      </w:r>
      <w:bookmarkEnd w:id="86"/>
    </w:p>
    <w:p>
      <w:pPr>
        <w:ind w:firstLine="640"/>
        <w:rPr>
          <w:lang w:eastAsia="zh-CN"/>
        </w:rPr>
      </w:pPr>
      <w:r>
        <w:rPr>
          <w:rFonts w:hint="eastAsia"/>
          <w:lang w:eastAsia="zh-CN"/>
        </w:rPr>
        <w:t>各学院毕业生主要就业职业分布：如下表所示。</w:t>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r>
        <w:rPr>
          <w:rFonts w:hint="eastAsia" w:eastAsia="黑体"/>
          <w:b/>
          <w:sz w:val="21"/>
          <w:lang w:eastAsia="zh-CN"/>
        </w:rPr>
        <w:t xml:space="preserve">表3. </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表1-2-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20</w:t>
      </w:r>
      <w:r>
        <w:rPr>
          <w:rFonts w:eastAsia="黑体"/>
          <w:b/>
          <w:sz w:val="21"/>
          <w:lang w:eastAsia="zh-CN"/>
        </w:rPr>
        <w:fldChar w:fldCharType="end"/>
      </w:r>
      <w:r>
        <w:rPr>
          <w:rFonts w:eastAsia="宋体"/>
          <w:b/>
          <w:sz w:val="24"/>
          <w:szCs w:val="24"/>
          <w:lang w:eastAsia="zh-CN"/>
        </w:rPr>
        <w:t xml:space="preserve">  </w:t>
      </w:r>
      <w:r>
        <w:rPr>
          <w:rFonts w:hint="eastAsia" w:eastAsia="宋体"/>
          <w:b/>
          <w:sz w:val="24"/>
          <w:szCs w:val="24"/>
          <w:lang w:eastAsia="zh-CN"/>
        </w:rPr>
        <w:t>2022届各学院毕业生主要就业职业分布</w:t>
      </w:r>
    </w:p>
    <w:tbl>
      <w:tblPr>
        <w:tblStyle w:val="37"/>
        <w:tblW w:w="5003" w:type="pct"/>
        <w:jc w:val="cente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2568"/>
        <w:gridCol w:w="7400"/>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jc w:val="center"/>
        </w:trPr>
        <w:tc>
          <w:tcPr>
            <w:tcW w:w="1288" w:type="pct"/>
            <w:tcBorders>
              <w:top w:val="single" w:color="0F6FC6" w:sz="4" w:space="0"/>
              <w:left w:val="single" w:color="0F6FC6" w:sz="4" w:space="0"/>
              <w:bottom w:val="single" w:color="0F6FC6" w:sz="4" w:space="0"/>
              <w:right w:val="nil"/>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color w:val="CCE8CF"/>
                <w:sz w:val="21"/>
                <w:lang w:eastAsia="zh-CN"/>
              </w:rPr>
            </w:pPr>
            <w:r>
              <w:rPr>
                <w:rFonts w:hint="eastAsia" w:ascii="微软雅黑" w:hAnsi="微软雅黑" w:eastAsia="微软雅黑" w:cs="微软雅黑"/>
                <w:b/>
                <w:bCs/>
                <w:snapToGrid/>
                <w:color w:val="CCE8CF"/>
                <w:sz w:val="21"/>
                <w:lang w:eastAsia="zh-CN"/>
              </w:rPr>
              <w:t>学院</w:t>
            </w:r>
          </w:p>
        </w:tc>
        <w:tc>
          <w:tcPr>
            <w:tcW w:w="3712" w:type="pct"/>
            <w:tcBorders>
              <w:top w:val="single" w:color="0F6FC6" w:sz="4" w:space="0"/>
              <w:bottom w:val="single" w:color="0F6FC6" w:sz="4" w:space="0"/>
              <w:right w:val="single" w:color="0F6FC6"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color w:val="CCE8CF"/>
                <w:sz w:val="21"/>
                <w:lang w:eastAsia="zh-CN"/>
              </w:rPr>
            </w:pPr>
            <w:r>
              <w:rPr>
                <w:rFonts w:hint="eastAsia" w:eastAsia="Calibri"/>
                <w:b/>
                <w:bCs/>
                <w:snapToGrid/>
                <w:color w:val="CCE8CF"/>
                <w:sz w:val="21"/>
                <w:lang w:eastAsia="zh-CN"/>
              </w:rPr>
              <w:t>主要就业职业前十分布</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288"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化学与材料工程学院</w:t>
            </w:r>
          </w:p>
        </w:tc>
        <w:tc>
          <w:tcPr>
            <w:tcW w:w="3712"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Calibri"/>
                <w:snapToGrid/>
                <w:sz w:val="21"/>
                <w:lang w:eastAsia="zh-CN"/>
              </w:rPr>
            </w:pPr>
            <w:r>
              <w:rPr>
                <w:rFonts w:hint="eastAsia" w:eastAsia="宋体"/>
                <w:bCs/>
                <w:snapToGrid/>
                <w:sz w:val="21"/>
                <w:lang w:eastAsia="zh-CN"/>
              </w:rPr>
              <w:t>医疗卫生类（66.67%）、化工/冶金/机械类（16.67%）、人力/行政/营销类（5.56%）、标准化/质量/安全/检验类（5.56%）、贸易/物流类（5.56%）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288"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国际护理学院</w:t>
            </w:r>
          </w:p>
        </w:tc>
        <w:tc>
          <w:tcPr>
            <w:tcW w:w="3712"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Calibri"/>
                <w:snapToGrid/>
                <w:sz w:val="21"/>
                <w:lang w:eastAsia="zh-CN"/>
              </w:rPr>
            </w:pPr>
            <w:r>
              <w:rPr>
                <w:rFonts w:hint="eastAsia" w:eastAsia="宋体"/>
                <w:bCs/>
                <w:snapToGrid/>
                <w:sz w:val="21"/>
                <w:lang w:eastAsia="zh-CN"/>
              </w:rPr>
              <w:t>医疗卫生类（60.00%）、教育/培训/科研类（30.00%）、文化传媒类（10.00%）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288"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城建学院</w:t>
            </w:r>
          </w:p>
        </w:tc>
        <w:tc>
          <w:tcPr>
            <w:tcW w:w="3712"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Calibri"/>
                <w:snapToGrid/>
                <w:sz w:val="21"/>
                <w:lang w:eastAsia="zh-CN"/>
              </w:rPr>
            </w:pPr>
            <w:r>
              <w:rPr>
                <w:rFonts w:hint="eastAsia" w:eastAsia="宋体"/>
                <w:bCs/>
                <w:snapToGrid/>
                <w:sz w:val="21"/>
                <w:lang w:eastAsia="zh-CN"/>
              </w:rPr>
              <w:t>建筑建材类（50.00%）、教育/培训/科研类（16.67%）、标准化/质量/安全/检验类（11.11%）、文化传媒类（5.56%）、人力/行政/营销类（5.56%）、农/林/牧/渔/水利类（5.56%）、电气/电力/电子/通信类（5.56%）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288"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机电工程学院</w:t>
            </w:r>
          </w:p>
        </w:tc>
        <w:tc>
          <w:tcPr>
            <w:tcW w:w="3712"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Calibri"/>
                <w:snapToGrid/>
                <w:sz w:val="21"/>
                <w:lang w:eastAsia="zh-CN"/>
              </w:rPr>
            </w:pPr>
            <w:r>
              <w:rPr>
                <w:rFonts w:hint="eastAsia" w:eastAsia="宋体"/>
                <w:bCs/>
                <w:snapToGrid/>
                <w:sz w:val="21"/>
                <w:lang w:eastAsia="zh-CN"/>
              </w:rPr>
              <w:t>电气/电力/电子/通信类（28.00%）、化工/冶金/机械类（24.00%）、教育/培训/科研类（8.00%）、人力/行政/营销类（8.00%）、建筑建材类（8.00%）、医疗卫生类（4.00%）、商业服务类（4.00%）、安全保卫/消防/兵器类（4.00%）、计算机/互联网类（4.00%）、标准化/质量/安全/检验类（4.00%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288"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信息工程学院</w:t>
            </w:r>
          </w:p>
        </w:tc>
        <w:tc>
          <w:tcPr>
            <w:tcW w:w="3712"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Calibri"/>
                <w:snapToGrid/>
                <w:sz w:val="21"/>
                <w:lang w:eastAsia="zh-CN"/>
              </w:rPr>
            </w:pPr>
            <w:r>
              <w:rPr>
                <w:rFonts w:hint="eastAsia" w:eastAsia="宋体"/>
                <w:bCs/>
                <w:snapToGrid/>
                <w:sz w:val="21"/>
                <w:lang w:eastAsia="zh-CN"/>
              </w:rPr>
              <w:t>计算机/互联网类（26.67%）、教育/培训/科研类（13.33%）、人力/行政/营销类（6.67%）、商业服务类（6.67%）、电气/电力/电子/通信类（6.67%）、艺术/体育类（6.67%）、贸易/物流类（6.67%）、交通运输类（6.67%）、法律/知识产权/公务员类（6.67%）、环境/资源保护类（6.67%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288"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海事学院</w:t>
            </w:r>
          </w:p>
        </w:tc>
        <w:tc>
          <w:tcPr>
            <w:tcW w:w="3712"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Calibri"/>
                <w:snapToGrid/>
                <w:sz w:val="21"/>
                <w:lang w:eastAsia="zh-CN"/>
              </w:rPr>
            </w:pPr>
            <w:r>
              <w:rPr>
                <w:rFonts w:hint="eastAsia" w:eastAsia="宋体"/>
                <w:bCs/>
                <w:snapToGrid/>
                <w:sz w:val="21"/>
                <w:lang w:eastAsia="zh-CN"/>
              </w:rPr>
              <w:t>*人力/行政/营销类（50.00%）、农/林/牧/渔/水利类（50.00%）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288"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健康科学学院</w:t>
            </w:r>
          </w:p>
        </w:tc>
        <w:tc>
          <w:tcPr>
            <w:tcW w:w="3712"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Calibri"/>
                <w:snapToGrid/>
                <w:sz w:val="21"/>
                <w:lang w:eastAsia="zh-CN"/>
              </w:rPr>
            </w:pPr>
            <w:r>
              <w:rPr>
                <w:rFonts w:hint="eastAsia" w:eastAsia="宋体"/>
                <w:bCs/>
                <w:snapToGrid/>
                <w:sz w:val="21"/>
                <w:lang w:eastAsia="zh-CN"/>
              </w:rPr>
              <w:t>*人力/行政/营销类（37.50%）、医疗卫生类（12.50%）、教育/培训/科研类（12.50%）、商业服务类（12.50%）、安全保卫/消防/兵器类（12.50%）、计算机/互联网类（12.50%）</w:t>
            </w:r>
          </w:p>
        </w:tc>
      </w:tr>
    </w:tbl>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Chars="0"/>
        <w:jc w:val="both"/>
        <w:textAlignment w:val="auto"/>
        <w:rPr>
          <w:rFonts w:ascii="黑体" w:hAnsi="黑体" w:eastAsia="黑体"/>
          <w:snapToGrid/>
          <w:sz w:val="21"/>
          <w:lang w:eastAsia="zh-CN"/>
        </w:rPr>
      </w:pPr>
      <w:r>
        <w:rPr>
          <w:rFonts w:hint="eastAsia" w:ascii="黑体" w:hAnsi="黑体" w:eastAsia="黑体"/>
          <w:snapToGrid/>
          <w:sz w:val="21"/>
          <w:lang w:eastAsia="zh-CN"/>
        </w:rPr>
        <w:t>注：*</w:t>
      </w:r>
      <w:r>
        <w:rPr>
          <w:rFonts w:ascii="黑体" w:hAnsi="黑体" w:eastAsia="黑体"/>
          <w:snapToGrid/>
          <w:sz w:val="21"/>
          <w:lang w:eastAsia="zh-CN"/>
        </w:rPr>
        <w:t>学院</w:t>
      </w:r>
      <w:r>
        <w:rPr>
          <w:rFonts w:hint="eastAsia" w:ascii="黑体" w:hAnsi="黑体" w:eastAsia="黑体"/>
          <w:snapToGrid/>
          <w:sz w:val="21"/>
          <w:lang w:eastAsia="zh-CN"/>
        </w:rPr>
        <w:t>样本量较小，其分析结果仅供参考，不纳入到报告此处分析范畴。</w:t>
      </w:r>
    </w:p>
    <w:p>
      <w:pPr>
        <w:rPr>
          <w:snapToGrid/>
          <w:sz w:val="21"/>
          <w:lang w:eastAsia="zh-CN"/>
        </w:rPr>
      </w:pPr>
      <w:r>
        <w:rPr>
          <w:rFonts w:hint="eastAsia" w:ascii="仿宋" w:hAnsi="仿宋"/>
          <w:sz w:val="21"/>
          <w:lang w:eastAsia="zh-CN"/>
        </w:rPr>
        <w:t>数据来源：北京新锦成教育技术有限公司</w:t>
      </w:r>
    </w:p>
    <w:p>
      <w:pPr>
        <w:pStyle w:val="3"/>
        <w:ind w:firstLine="643"/>
        <w:rPr>
          <w:lang w:eastAsia="zh-CN"/>
        </w:rPr>
      </w:pPr>
      <w:bookmarkStart w:id="87" w:name="_Toc151887730"/>
      <w:r>
        <w:rPr>
          <w:rFonts w:hint="eastAsia"/>
          <w:lang w:eastAsia="zh-CN"/>
        </w:rPr>
        <w:t>（二）各专业就业职业分布</w:t>
      </w:r>
      <w:bookmarkEnd w:id="87"/>
    </w:p>
    <w:p>
      <w:pPr>
        <w:pBdr>
          <w:top w:val="none" w:color="000000" w:sz="0" w:space="0"/>
          <w:left w:val="none" w:color="000000" w:sz="0" w:space="0"/>
          <w:bottom w:val="none" w:color="000000" w:sz="0" w:space="0"/>
          <w:right w:val="none" w:color="000000" w:sz="0" w:space="0"/>
          <w:between w:val="none" w:color="000000" w:sz="0" w:space="0"/>
        </w:pBdr>
        <w:spacing w:before="163" w:after="163"/>
        <w:ind w:firstLine="422"/>
        <w:jc w:val="center"/>
        <w:rPr>
          <w:rFonts w:eastAsia="黑体"/>
          <w:b/>
          <w:sz w:val="21"/>
          <w:lang w:eastAsia="zh-CN"/>
        </w:rPr>
      </w:pPr>
      <w:r>
        <w:rPr>
          <w:rFonts w:hint="eastAsia" w:eastAsia="黑体"/>
          <w:b/>
          <w:sz w:val="21"/>
          <w:lang w:eastAsia="zh-CN"/>
        </w:rPr>
        <w:t>表3.</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表1-2-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21</w:t>
      </w:r>
      <w:r>
        <w:rPr>
          <w:rFonts w:eastAsia="黑体"/>
          <w:b/>
          <w:sz w:val="21"/>
          <w:lang w:eastAsia="zh-CN"/>
        </w:rPr>
        <w:fldChar w:fldCharType="end"/>
      </w:r>
      <w:r>
        <w:rPr>
          <w:rFonts w:eastAsia="宋体"/>
          <w:b/>
          <w:sz w:val="24"/>
          <w:szCs w:val="24"/>
          <w:lang w:eastAsia="zh-CN"/>
        </w:rPr>
        <w:t xml:space="preserve">  </w:t>
      </w:r>
      <w:r>
        <w:rPr>
          <w:rFonts w:hint="eastAsia" w:eastAsia="宋体"/>
          <w:b/>
          <w:sz w:val="24"/>
          <w:szCs w:val="24"/>
          <w:lang w:eastAsia="zh-CN"/>
        </w:rPr>
        <w:t>2022届各专业毕业生主要就业职业分布</w:t>
      </w:r>
    </w:p>
    <w:tbl>
      <w:tblPr>
        <w:tblStyle w:val="37"/>
        <w:tblW w:w="5003" w:type="pct"/>
        <w:jc w:val="cente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fixed"/>
        <w:tblCellMar>
          <w:top w:w="0" w:type="dxa"/>
          <w:left w:w="108" w:type="dxa"/>
          <w:bottom w:w="0" w:type="dxa"/>
          <w:right w:w="108" w:type="dxa"/>
        </w:tblCellMar>
      </w:tblPr>
      <w:tblGrid>
        <w:gridCol w:w="2568"/>
        <w:gridCol w:w="7400"/>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jc w:val="center"/>
        </w:trPr>
        <w:tc>
          <w:tcPr>
            <w:tcW w:w="2263" w:type="dxa"/>
            <w:tcBorders>
              <w:top w:val="single" w:color="0F6FC6" w:sz="4" w:space="0"/>
              <w:left w:val="single" w:color="0F6FC6" w:sz="4" w:space="0"/>
              <w:bottom w:val="single" w:color="0F6FC6" w:sz="4" w:space="0"/>
              <w:right w:val="nil"/>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color w:val="CCE8CF"/>
                <w:sz w:val="21"/>
                <w:lang w:eastAsia="zh-CN"/>
              </w:rPr>
            </w:pPr>
            <w:r>
              <w:rPr>
                <w:rFonts w:eastAsia="Calibri"/>
                <w:b/>
                <w:bCs/>
                <w:snapToGrid/>
                <w:color w:val="CCE8CF"/>
                <w:sz w:val="21"/>
                <w:lang w:eastAsia="zh-CN"/>
              </w:rPr>
              <w:t>专业</w:t>
            </w:r>
          </w:p>
        </w:tc>
        <w:tc>
          <w:tcPr>
            <w:tcW w:w="6520" w:type="dxa"/>
            <w:tcBorders>
              <w:top w:val="single" w:color="0F6FC6" w:sz="4" w:space="0"/>
              <w:bottom w:val="single" w:color="0F6FC6" w:sz="4" w:space="0"/>
              <w:right w:val="single" w:color="0F6FC6"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color w:val="CCE8CF"/>
                <w:sz w:val="21"/>
                <w:lang w:eastAsia="zh-CN"/>
              </w:rPr>
            </w:pPr>
            <w:r>
              <w:rPr>
                <w:rFonts w:eastAsia="Calibri"/>
                <w:b/>
                <w:bCs/>
                <w:snapToGrid/>
                <w:color w:val="CCE8CF"/>
                <w:sz w:val="21"/>
                <w:lang w:eastAsia="zh-CN"/>
              </w:rPr>
              <w:t>主要就业职业前十分布</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制药工程</w:t>
            </w:r>
          </w:p>
        </w:tc>
        <w:tc>
          <w:tcPr>
            <w:tcW w:w="6520"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医疗卫生类（75.00%）、化工/冶金/机械类（12.50%）、人力/行政/营销类（6.25%）、贸易/物流类（6.25%）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护理</w:t>
            </w:r>
          </w:p>
        </w:tc>
        <w:tc>
          <w:tcPr>
            <w:tcW w:w="6520"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医疗卫生类（60.00%）、教育/培训/科研类（30.00%）、文化传媒类（10.00%）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土木工程</w:t>
            </w:r>
          </w:p>
        </w:tc>
        <w:tc>
          <w:tcPr>
            <w:tcW w:w="6520"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建筑建材类（50.00%）、教育/培训/科研类（16.67%）、标准化/质量/安全/检验类（11.11%）、人力/行政/营销类（5.56%）、农/林/牧/渔/水利类（5.56%）、文化传媒类（5.56%）、电气/电力/电子/通信类（5.56%）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机械设计制造类</w:t>
            </w:r>
          </w:p>
        </w:tc>
        <w:tc>
          <w:tcPr>
            <w:tcW w:w="6520"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电气/电力/电子/通信类（28.00%）、化工/冶金/机械类（24.00%）、人力/行政/营销类（8.00%）、教育/培训/科研类（8.00%）、建筑建材类（8.00%）、商业服务类（4.00%）、艺术/体育类（4.00%）、计算机/互联网类（4.00%）、医疗卫生类（4.00%）、安全保卫/消防/兵器类（4.00%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物联网工程</w:t>
            </w:r>
          </w:p>
        </w:tc>
        <w:tc>
          <w:tcPr>
            <w:tcW w:w="6520"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计算机/互联网类（25.00%）、人力/行政/营销类（12.50%）、商业服务类（12.50%）、法律/知识产权/公务员类（12.50%）、艺术/体育类（12.50%）、贸易/物流类（12.50%）、金融/经济类（12.50%）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化学工程与工艺</w:t>
            </w:r>
          </w:p>
        </w:tc>
        <w:tc>
          <w:tcPr>
            <w:tcW w:w="6520"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*化工/冶金/机械类（50.00%）、标准化/质量/安全/检验类（50.00%）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水路运输与海事管理</w:t>
            </w:r>
          </w:p>
        </w:tc>
        <w:tc>
          <w:tcPr>
            <w:tcW w:w="6520"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*人力/行政/营销类（50.00%）、农/林/牧/渔/水利类（50.00%）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健康服务与管理</w:t>
            </w:r>
          </w:p>
        </w:tc>
        <w:tc>
          <w:tcPr>
            <w:tcW w:w="6520"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*人力/行政/营销类（37.50%）、商业服务类（12.50%）、计算机/互联网类（12.50%）、医疗卫生类（12.50%）、安全保卫/消防/兵器类（12.50%）、教育/培训/科研类（12.50%）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大数据技术与应用</w:t>
            </w:r>
          </w:p>
        </w:tc>
        <w:tc>
          <w:tcPr>
            <w:tcW w:w="6520"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*计算机/互联网类（28.57%）、教育/培训/科研类（28.57%）、电气/电力/电子/通信类（14.29%）、交通运输类（14.29%）、环境/资源保护类（14.29%）</w:t>
            </w:r>
          </w:p>
        </w:tc>
      </w:tr>
    </w:tbl>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Chars="0"/>
        <w:jc w:val="both"/>
        <w:textAlignment w:val="auto"/>
        <w:rPr>
          <w:rFonts w:ascii="黑体" w:hAnsi="黑体" w:eastAsia="黑体"/>
          <w:snapToGrid/>
          <w:sz w:val="21"/>
          <w:lang w:eastAsia="zh-CN"/>
        </w:rPr>
      </w:pPr>
      <w:r>
        <w:rPr>
          <w:rFonts w:hint="eastAsia" w:ascii="黑体" w:hAnsi="黑体" w:eastAsia="黑体"/>
          <w:snapToGrid/>
          <w:sz w:val="21"/>
          <w:lang w:eastAsia="zh-CN"/>
        </w:rPr>
        <w:t>注：*专业样本量较小，其分析结果仅供参考，不纳入到报告此处分析范畴。</w:t>
      </w:r>
    </w:p>
    <w:p>
      <w:pPr>
        <w:rPr>
          <w:snapToGrid/>
          <w:sz w:val="21"/>
          <w:lang w:eastAsia="zh-CN"/>
        </w:rPr>
      </w:pPr>
      <w:r>
        <w:rPr>
          <w:rFonts w:hint="eastAsia" w:ascii="仿宋" w:hAnsi="仿宋"/>
          <w:sz w:val="21"/>
          <w:lang w:eastAsia="zh-CN"/>
        </w:rPr>
        <w:t>数据来源：北京新锦成教育技术有限公司</w:t>
      </w:r>
    </w:p>
    <w:p>
      <w:pPr>
        <w:pStyle w:val="3"/>
        <w:ind w:firstLine="643"/>
        <w:rPr>
          <w:lang w:eastAsia="zh-CN"/>
        </w:rPr>
      </w:pPr>
      <w:bookmarkStart w:id="88" w:name="_Toc151887731"/>
      <w:r>
        <w:rPr>
          <w:rFonts w:hint="eastAsia"/>
          <w:lang w:eastAsia="zh-CN"/>
        </w:rPr>
        <w:t>（三）主要就业职业就业质量差异分析</w:t>
      </w:r>
      <w:bookmarkEnd w:id="88"/>
    </w:p>
    <w:p>
      <w:pPr>
        <w:ind w:firstLine="640"/>
        <w:rPr>
          <w:lang w:eastAsia="zh-CN"/>
        </w:rPr>
      </w:pPr>
      <w:r>
        <w:rPr>
          <w:rFonts w:hint="eastAsia"/>
          <w:lang w:eastAsia="zh-CN"/>
        </w:rPr>
        <w:t>主要就业职业月均收入：职业为“电气/电力/电子/通信类”“化工/冶金/机械类”的毕业生月均收入水平相对较高，而职业为“计算机/互联网类”的毕业生月均收入水平相对较低。</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163" w:after="163" w:line="360" w:lineRule="auto"/>
        <w:ind w:firstLine="482" w:firstLineChars="0"/>
        <w:jc w:val="center"/>
        <w:textAlignment w:val="auto"/>
        <w:rPr>
          <w:rFonts w:eastAsia="宋体"/>
          <w:snapToGrid/>
          <w:sz w:val="24"/>
          <w:szCs w:val="24"/>
          <w:lang w:eastAsia="zh-CN"/>
        </w:rPr>
      </w:pPr>
      <w:r>
        <w:rPr>
          <w:rFonts w:eastAsia="宋体"/>
          <w:b/>
          <w:snapToGrid/>
          <w:sz w:val="24"/>
          <w:szCs w:val="24"/>
          <w:lang w:eastAsia="zh-CN"/>
        </w:rPr>
        <w:drawing>
          <wp:inline distT="0" distB="0" distL="0" distR="0">
            <wp:extent cx="4612640" cy="3517265"/>
            <wp:effectExtent l="0" t="0" r="10160" b="635"/>
            <wp:docPr id="82"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r>
        <w:rPr>
          <w:rFonts w:hint="eastAsia" w:eastAsia="黑体"/>
          <w:b/>
          <w:sz w:val="21"/>
          <w:lang w:eastAsia="zh-CN"/>
        </w:rPr>
        <w:t>图3.</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29</w:t>
      </w:r>
      <w:r>
        <w:rPr>
          <w:rFonts w:eastAsia="黑体"/>
          <w:b/>
          <w:sz w:val="21"/>
          <w:lang w:eastAsia="zh-CN"/>
        </w:rPr>
        <w:fldChar w:fldCharType="end"/>
      </w:r>
      <w:r>
        <w:rPr>
          <w:rFonts w:eastAsia="黑体"/>
          <w:b/>
          <w:sz w:val="21"/>
          <w:lang w:eastAsia="zh-CN"/>
        </w:rPr>
        <w:t xml:space="preserve"> </w:t>
      </w:r>
      <w:r>
        <w:rPr>
          <w:rFonts w:hint="eastAsia" w:eastAsia="黑体"/>
          <w:b/>
          <w:sz w:val="21"/>
          <w:lang w:eastAsia="zh-CN"/>
        </w:rPr>
        <w:t xml:space="preserve"> 2022届毕业生主要就业职业月均收入</w:t>
      </w:r>
      <w:r>
        <w:rPr>
          <w:rFonts w:eastAsia="黑体"/>
          <w:b/>
          <w:sz w:val="21"/>
          <w:lang w:eastAsia="zh-CN"/>
        </w:rPr>
        <w:t>分布</w:t>
      </w:r>
      <w:r>
        <w:rPr>
          <w:rFonts w:hint="eastAsia" w:eastAsia="黑体"/>
          <w:b/>
          <w:sz w:val="21"/>
          <w:lang w:eastAsia="zh-CN"/>
        </w:rPr>
        <w:t xml:space="preserve"> （单位</w:t>
      </w:r>
      <w:r>
        <w:rPr>
          <w:rFonts w:eastAsia="黑体"/>
          <w:b/>
          <w:sz w:val="21"/>
          <w:lang w:eastAsia="zh-CN"/>
        </w:rPr>
        <w:t>：</w:t>
      </w:r>
      <w:r>
        <w:rPr>
          <w:rFonts w:hint="eastAsia" w:eastAsia="黑体"/>
          <w:b/>
          <w:sz w:val="21"/>
          <w:lang w:eastAsia="zh-CN"/>
        </w:rPr>
        <w:t>元）</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Chars="0"/>
        <w:jc w:val="both"/>
        <w:textAlignment w:val="auto"/>
        <w:rPr>
          <w:rFonts w:ascii="黑体" w:hAnsi="黑体" w:eastAsia="黑体"/>
          <w:snapToGrid/>
          <w:sz w:val="21"/>
          <w:lang w:eastAsia="zh-CN"/>
        </w:rPr>
      </w:pPr>
      <w:r>
        <w:rPr>
          <w:rFonts w:ascii="黑体" w:hAnsi="黑体" w:eastAsia="黑体"/>
          <w:snapToGrid/>
          <w:sz w:val="21"/>
          <w:lang w:eastAsia="zh-CN"/>
        </w:rPr>
        <w:t>注：主要就业</w:t>
      </w:r>
      <w:r>
        <w:rPr>
          <w:rFonts w:hint="eastAsia" w:ascii="黑体" w:hAnsi="黑体" w:eastAsia="黑体"/>
          <w:snapToGrid/>
          <w:sz w:val="21"/>
          <w:lang w:eastAsia="zh-CN"/>
        </w:rPr>
        <w:t>职业</w:t>
      </w:r>
      <w:r>
        <w:rPr>
          <w:rFonts w:ascii="黑体" w:hAnsi="黑体" w:eastAsia="黑体"/>
          <w:snapToGrid/>
          <w:sz w:val="21"/>
          <w:lang w:eastAsia="zh-CN"/>
        </w:rPr>
        <w:t>指就业人数≥</w:t>
      </w:r>
      <w:r>
        <w:rPr>
          <w:rFonts w:eastAsia="黑体"/>
          <w:snapToGrid/>
          <w:sz w:val="21"/>
          <w:lang w:eastAsia="zh-CN"/>
        </w:rPr>
        <w:t>15</w:t>
      </w:r>
      <w:r>
        <w:rPr>
          <w:rFonts w:ascii="黑体" w:hAnsi="黑体" w:eastAsia="黑体"/>
          <w:snapToGrid/>
          <w:sz w:val="21"/>
          <w:lang w:eastAsia="zh-CN"/>
        </w:rPr>
        <w:t>人的</w:t>
      </w:r>
      <w:r>
        <w:rPr>
          <w:rFonts w:hint="eastAsia" w:ascii="黑体" w:hAnsi="黑体" w:eastAsia="黑体"/>
          <w:snapToGrid/>
          <w:sz w:val="21"/>
          <w:lang w:eastAsia="zh-CN"/>
        </w:rPr>
        <w:t>职业</w:t>
      </w:r>
      <w:r>
        <w:rPr>
          <w:rFonts w:ascii="黑体" w:hAnsi="黑体" w:eastAsia="黑体"/>
          <w:snapToGrid/>
          <w:sz w:val="21"/>
          <w:lang w:eastAsia="zh-CN"/>
        </w:rPr>
        <w:t>。</w:t>
      </w:r>
      <w:r>
        <w:rPr>
          <w:rFonts w:ascii="黑体" w:hAnsi="黑体" w:eastAsia="黑体"/>
          <w:snapToGrid/>
          <w:sz w:val="21"/>
          <w:lang w:eastAsia="zh-CN"/>
        </w:rPr>
        <w:tab/>
      </w:r>
    </w:p>
    <w:p>
      <w:pPr>
        <w:rPr>
          <w:snapToGrid/>
          <w:sz w:val="21"/>
          <w:lang w:eastAsia="zh-CN"/>
        </w:rPr>
      </w:pPr>
      <w:r>
        <w:rPr>
          <w:rFonts w:hint="eastAsia" w:ascii="仿宋" w:hAnsi="仿宋"/>
          <w:sz w:val="21"/>
          <w:lang w:eastAsia="zh-CN"/>
        </w:rPr>
        <w:t>数据来源：北京新锦成教育技术有限公司</w:t>
      </w:r>
    </w:p>
    <w:p>
      <w:pPr>
        <w:ind w:firstLine="640"/>
        <w:rPr>
          <w:lang w:eastAsia="zh-CN"/>
        </w:rPr>
      </w:pPr>
      <w:r>
        <w:rPr>
          <w:rFonts w:hint="eastAsia"/>
          <w:lang w:eastAsia="zh-CN"/>
        </w:rPr>
        <w:t>主要就业职业工作满意度：与其他职业相比，职业为“人力/行政/营销类”等职业的毕业生对目前工作满意度评价相对较高，达到了100.00%，而“建筑建材类”的工作满意度相对较低，仅为80.00%。</w:t>
      </w:r>
    </w:p>
    <w:p>
      <w:pPr>
        <w:pBdr>
          <w:top w:val="none" w:color="000000" w:sz="0" w:space="0"/>
          <w:left w:val="none" w:color="000000" w:sz="0" w:space="0"/>
          <w:bottom w:val="none" w:color="000000" w:sz="0" w:space="0"/>
          <w:right w:val="none" w:color="000000" w:sz="0" w:space="0"/>
          <w:between w:val="none" w:color="000000" w:sz="0" w:space="0"/>
        </w:pBdr>
        <w:spacing w:line="360" w:lineRule="auto"/>
        <w:ind w:firstLine="480"/>
        <w:jc w:val="center"/>
        <w:rPr>
          <w:rFonts w:eastAsia="Calibri" w:cs="宋体"/>
          <w:sz w:val="24"/>
          <w:lang w:eastAsia="zh-CN"/>
        </w:rPr>
      </w:pPr>
      <w:r>
        <w:rPr>
          <w:rFonts w:eastAsia="Calibri" w:cs="宋体"/>
          <w:sz w:val="24"/>
          <w:lang w:eastAsia="zh-CN"/>
        </w:rPr>
        <w:drawing>
          <wp:inline distT="0" distB="0" distL="0" distR="0">
            <wp:extent cx="4867275" cy="2988945"/>
            <wp:effectExtent l="0" t="0" r="0" b="1905"/>
            <wp:docPr id="83"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r>
        <w:rPr>
          <w:rFonts w:hint="eastAsia" w:eastAsia="黑体"/>
          <w:b/>
          <w:sz w:val="21"/>
          <w:lang w:eastAsia="zh-CN"/>
        </w:rPr>
        <w:t>图3.</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30</w:t>
      </w:r>
      <w:r>
        <w:rPr>
          <w:rFonts w:eastAsia="黑体"/>
          <w:b/>
          <w:sz w:val="21"/>
          <w:lang w:eastAsia="zh-CN"/>
        </w:rPr>
        <w:fldChar w:fldCharType="end"/>
      </w:r>
      <w:r>
        <w:rPr>
          <w:rFonts w:eastAsia="黑体"/>
          <w:b/>
          <w:sz w:val="21"/>
          <w:lang w:eastAsia="zh-CN"/>
        </w:rPr>
        <w:t xml:space="preserve"> </w:t>
      </w:r>
      <w:r>
        <w:rPr>
          <w:rFonts w:hint="eastAsia" w:eastAsia="黑体"/>
          <w:b/>
          <w:sz w:val="21"/>
          <w:lang w:eastAsia="zh-CN"/>
        </w:rPr>
        <w:t xml:space="preserve"> 2022届毕业生主要就业职业工作满意度</w:t>
      </w:r>
      <w:r>
        <w:rPr>
          <w:rFonts w:eastAsia="黑体"/>
          <w:b/>
          <w:sz w:val="21"/>
          <w:lang w:eastAsia="zh-CN"/>
        </w:rPr>
        <w:t>分布</w:t>
      </w:r>
      <w:r>
        <w:rPr>
          <w:rFonts w:hint="eastAsia" w:eastAsia="黑体"/>
          <w:b/>
          <w:sz w:val="21"/>
          <w:lang w:eastAsia="zh-CN"/>
        </w:rPr>
        <w:t xml:space="preserve"> </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Chars="0"/>
        <w:jc w:val="both"/>
        <w:textAlignment w:val="auto"/>
        <w:rPr>
          <w:rFonts w:ascii="黑体" w:hAnsi="黑体" w:eastAsia="黑体"/>
          <w:snapToGrid/>
          <w:sz w:val="21"/>
          <w:lang w:eastAsia="zh-CN"/>
        </w:rPr>
      </w:pPr>
      <w:r>
        <w:rPr>
          <w:rFonts w:ascii="黑体" w:hAnsi="黑体" w:eastAsia="黑体"/>
          <w:snapToGrid/>
          <w:sz w:val="21"/>
          <w:lang w:eastAsia="zh-CN"/>
        </w:rPr>
        <w:t>注：主要就业</w:t>
      </w:r>
      <w:r>
        <w:rPr>
          <w:rFonts w:hint="eastAsia" w:ascii="黑体" w:hAnsi="黑体" w:eastAsia="黑体"/>
          <w:snapToGrid/>
          <w:sz w:val="21"/>
          <w:lang w:eastAsia="zh-CN"/>
        </w:rPr>
        <w:t>职业</w:t>
      </w:r>
      <w:r>
        <w:rPr>
          <w:rFonts w:ascii="黑体" w:hAnsi="黑体" w:eastAsia="黑体"/>
          <w:snapToGrid/>
          <w:sz w:val="21"/>
          <w:lang w:eastAsia="zh-CN"/>
        </w:rPr>
        <w:t>指就业人数≥</w:t>
      </w:r>
      <w:r>
        <w:rPr>
          <w:rFonts w:eastAsia="黑体"/>
          <w:snapToGrid/>
          <w:sz w:val="21"/>
          <w:lang w:eastAsia="zh-CN"/>
        </w:rPr>
        <w:t>15</w:t>
      </w:r>
      <w:r>
        <w:rPr>
          <w:rFonts w:ascii="黑体" w:hAnsi="黑体" w:eastAsia="黑体"/>
          <w:snapToGrid/>
          <w:sz w:val="21"/>
          <w:lang w:eastAsia="zh-CN"/>
        </w:rPr>
        <w:t>人的</w:t>
      </w:r>
      <w:r>
        <w:rPr>
          <w:rFonts w:hint="eastAsia" w:ascii="黑体" w:hAnsi="黑体" w:eastAsia="黑体"/>
          <w:snapToGrid/>
          <w:sz w:val="21"/>
          <w:lang w:eastAsia="zh-CN"/>
        </w:rPr>
        <w:t>职业</w:t>
      </w:r>
      <w:r>
        <w:rPr>
          <w:rFonts w:ascii="黑体" w:hAnsi="黑体" w:eastAsia="黑体"/>
          <w:snapToGrid/>
          <w:sz w:val="21"/>
          <w:lang w:eastAsia="zh-CN"/>
        </w:rPr>
        <w:t>。</w:t>
      </w:r>
    </w:p>
    <w:p>
      <w:pPr>
        <w:rPr>
          <w:snapToGrid/>
          <w:sz w:val="21"/>
          <w:lang w:eastAsia="zh-CN"/>
        </w:rPr>
      </w:pPr>
      <w:r>
        <w:rPr>
          <w:rFonts w:hint="eastAsia" w:ascii="仿宋" w:hAnsi="仿宋"/>
          <w:sz w:val="21"/>
          <w:lang w:eastAsia="zh-CN"/>
        </w:rPr>
        <w:t>数据来源：北京新锦成教育技术有限公司</w:t>
      </w:r>
    </w:p>
    <w:p>
      <w:pPr>
        <w:ind w:firstLine="640"/>
        <w:rPr>
          <w:lang w:eastAsia="zh-CN"/>
        </w:rPr>
      </w:pPr>
      <w:r>
        <w:rPr>
          <w:rFonts w:hint="eastAsia"/>
          <w:lang w:eastAsia="zh-CN"/>
        </w:rPr>
        <w:t>主要就业职业离职率：职业为“电气/电力/电子/通信类”“人力/行政/营销类”职业的毕业生离职率相对较高，而从事“医疗卫生类”职业的毕业生离职率相对较低。</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163" w:after="163" w:line="360" w:lineRule="auto"/>
        <w:ind w:firstLine="480" w:firstLineChars="0"/>
        <w:jc w:val="center"/>
        <w:textAlignment w:val="auto"/>
        <w:rPr>
          <w:rFonts w:eastAsia="宋体"/>
          <w:snapToGrid/>
          <w:sz w:val="24"/>
          <w:szCs w:val="24"/>
          <w:lang w:eastAsia="zh-CN"/>
        </w:rPr>
      </w:pPr>
      <w:r>
        <w:rPr>
          <w:rFonts w:eastAsia="宋体"/>
          <w:snapToGrid/>
          <w:sz w:val="24"/>
          <w:szCs w:val="24"/>
          <w:lang w:eastAsia="zh-CN"/>
        </w:rPr>
        <w:drawing>
          <wp:inline distT="0" distB="0" distL="0" distR="0">
            <wp:extent cx="4916170" cy="2384425"/>
            <wp:effectExtent l="0" t="0" r="0" b="0"/>
            <wp:docPr id="84"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r>
        <w:rPr>
          <w:rFonts w:hint="eastAsia" w:eastAsia="黑体"/>
          <w:b/>
          <w:sz w:val="21"/>
          <w:lang w:eastAsia="zh-CN"/>
        </w:rPr>
        <w:t>图3.</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31</w:t>
      </w:r>
      <w:r>
        <w:rPr>
          <w:rFonts w:eastAsia="黑体"/>
          <w:b/>
          <w:sz w:val="21"/>
          <w:lang w:eastAsia="zh-CN"/>
        </w:rPr>
        <w:fldChar w:fldCharType="end"/>
      </w:r>
      <w:r>
        <w:rPr>
          <w:rFonts w:eastAsia="黑体"/>
          <w:b/>
          <w:sz w:val="21"/>
          <w:lang w:eastAsia="zh-CN"/>
        </w:rPr>
        <w:t xml:space="preserve"> </w:t>
      </w:r>
      <w:r>
        <w:rPr>
          <w:rFonts w:hint="eastAsia" w:eastAsia="黑体"/>
          <w:b/>
          <w:sz w:val="21"/>
          <w:lang w:eastAsia="zh-CN"/>
        </w:rPr>
        <w:t xml:space="preserve"> 2022届毕业生主要就业职业离职率</w:t>
      </w:r>
      <w:r>
        <w:rPr>
          <w:rFonts w:eastAsia="黑体"/>
          <w:b/>
          <w:sz w:val="21"/>
          <w:lang w:eastAsia="zh-CN"/>
        </w:rPr>
        <w:t>分布</w:t>
      </w:r>
      <w:r>
        <w:rPr>
          <w:rFonts w:hint="eastAsia" w:eastAsia="黑体"/>
          <w:b/>
          <w:sz w:val="21"/>
          <w:lang w:eastAsia="zh-CN"/>
        </w:rPr>
        <w:t xml:space="preserve"> </w:t>
      </w:r>
    </w:p>
    <w:p>
      <w:pPr>
        <w:rPr>
          <w:snapToGrid/>
          <w:sz w:val="21"/>
          <w:lang w:eastAsia="zh-CN"/>
        </w:rPr>
      </w:pPr>
      <w:r>
        <w:rPr>
          <w:rFonts w:hint="eastAsia" w:ascii="仿宋" w:hAnsi="仿宋"/>
          <w:sz w:val="21"/>
          <w:lang w:eastAsia="zh-CN"/>
        </w:rPr>
        <w:t>数据来源：北京新锦成教育技术有限公司</w:t>
      </w:r>
    </w:p>
    <w:p>
      <w:pPr>
        <w:pStyle w:val="2"/>
        <w:ind w:firstLine="640"/>
        <w:rPr>
          <w:lang w:eastAsia="zh-CN"/>
        </w:rPr>
      </w:pPr>
      <w:bookmarkStart w:id="89" w:name="_Toc151887732"/>
      <w:r>
        <w:rPr>
          <w:rFonts w:hint="eastAsia"/>
          <w:lang w:eastAsia="zh-CN"/>
        </w:rPr>
        <w:t>四</w:t>
      </w:r>
      <w:r>
        <w:rPr>
          <w:lang w:eastAsia="zh-CN"/>
        </w:rPr>
        <w:t>、</w:t>
      </w:r>
      <w:r>
        <w:rPr>
          <w:rFonts w:hint="eastAsia"/>
          <w:lang w:eastAsia="zh-CN"/>
        </w:rPr>
        <w:t>就业单位特色</w:t>
      </w:r>
      <w:bookmarkEnd w:id="89"/>
    </w:p>
    <w:p>
      <w:pPr>
        <w:ind w:firstLine="640"/>
        <w:rPr>
          <w:lang w:eastAsia="zh-CN"/>
        </w:rPr>
      </w:pPr>
      <w:r>
        <w:rPr>
          <w:rFonts w:hint="eastAsia"/>
          <w:lang w:eastAsia="zh-CN"/>
        </w:rPr>
        <w:t>总体</w:t>
      </w:r>
      <w:r>
        <w:rPr>
          <w:lang w:eastAsia="zh-CN"/>
        </w:rPr>
        <w:t>就业</w:t>
      </w:r>
      <w:r>
        <w:rPr>
          <w:rFonts w:hint="eastAsia"/>
          <w:lang w:eastAsia="zh-CN"/>
        </w:rPr>
        <w:t>单位性质：本校</w:t>
      </w:r>
      <w:r>
        <w:rPr>
          <w:lang w:eastAsia="zh-CN"/>
        </w:rPr>
        <w:t>2022届</w:t>
      </w:r>
      <w:r>
        <w:rPr>
          <w:rFonts w:hint="eastAsia"/>
          <w:lang w:eastAsia="zh-CN"/>
        </w:rPr>
        <w:t>毕业生就业单位以</w:t>
      </w:r>
      <w:r>
        <w:rPr>
          <w:rFonts w:hint="eastAsia"/>
          <w:lang w:val="zh-CN" w:eastAsia="zh-CN"/>
        </w:rPr>
        <w:t>“民营企业/个体”为主，“国有企业”次之</w:t>
      </w:r>
      <w:r>
        <w:rPr>
          <w:rFonts w:hint="eastAsia"/>
          <w:lang w:eastAsia="zh-CN"/>
        </w:rPr>
        <w:t>。</w:t>
      </w:r>
    </w:p>
    <w:p>
      <w:pPr>
        <w:pBdr>
          <w:top w:val="none" w:color="000000" w:sz="0" w:space="0"/>
          <w:left w:val="none" w:color="000000" w:sz="0" w:space="0"/>
          <w:bottom w:val="none" w:color="000000" w:sz="0" w:space="0"/>
          <w:right w:val="none" w:color="000000" w:sz="0" w:space="0"/>
          <w:between w:val="none" w:color="000000" w:sz="0" w:space="0"/>
        </w:pBdr>
        <w:spacing w:before="163" w:after="156" w:line="360" w:lineRule="auto"/>
        <w:ind w:firstLine="480"/>
        <w:rPr>
          <w:rFonts w:eastAsia="Calibri"/>
          <w:color w:val="auto"/>
          <w:sz w:val="24"/>
          <w:lang w:eastAsia="zh-CN"/>
        </w:rPr>
      </w:pPr>
      <w:r>
        <w:rPr>
          <w:rFonts w:ascii="Calibri" w:hAnsi="Calibri" w:eastAsia="Calibri" w:cs="宋体"/>
          <w:sz w:val="24"/>
          <w:lang w:eastAsia="zh-CN"/>
        </w:rPr>
        <w:drawing>
          <wp:inline distT="0" distB="0" distL="0" distR="0">
            <wp:extent cx="5019675" cy="3686175"/>
            <wp:effectExtent l="0" t="0" r="9525" b="9525"/>
            <wp:docPr id="85"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r>
        <w:rPr>
          <w:rFonts w:hint="eastAsia" w:eastAsia="黑体"/>
          <w:b/>
          <w:sz w:val="21"/>
          <w:lang w:eastAsia="zh-CN"/>
        </w:rPr>
        <w:t>图3.</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32</w:t>
      </w:r>
      <w:r>
        <w:rPr>
          <w:rFonts w:eastAsia="黑体"/>
          <w:b/>
          <w:sz w:val="21"/>
          <w:lang w:eastAsia="zh-CN"/>
        </w:rPr>
        <w:fldChar w:fldCharType="end"/>
      </w:r>
      <w:r>
        <w:rPr>
          <w:rFonts w:eastAsia="黑体"/>
          <w:b/>
          <w:sz w:val="21"/>
          <w:lang w:eastAsia="zh-CN"/>
        </w:rPr>
        <w:t xml:space="preserve"> </w:t>
      </w:r>
      <w:r>
        <w:rPr>
          <w:rFonts w:hint="eastAsia" w:eastAsia="黑体"/>
          <w:b/>
          <w:sz w:val="21"/>
          <w:lang w:eastAsia="zh-CN"/>
        </w:rPr>
        <w:t xml:space="preserve"> 2022届毕业生就业单位性质</w:t>
      </w:r>
      <w:r>
        <w:rPr>
          <w:rFonts w:eastAsia="黑体"/>
          <w:b/>
          <w:sz w:val="21"/>
          <w:lang w:eastAsia="zh-CN"/>
        </w:rPr>
        <w:t>分布</w:t>
      </w:r>
      <w:r>
        <w:rPr>
          <w:rFonts w:hint="eastAsia" w:eastAsia="黑体"/>
          <w:b/>
          <w:sz w:val="21"/>
          <w:lang w:eastAsia="zh-CN"/>
        </w:rPr>
        <w:t xml:space="preserve"> </w:t>
      </w:r>
    </w:p>
    <w:p>
      <w:pPr>
        <w:rPr>
          <w:snapToGrid/>
          <w:sz w:val="21"/>
          <w:lang w:eastAsia="zh-CN"/>
        </w:rPr>
      </w:pPr>
      <w:r>
        <w:rPr>
          <w:rFonts w:hint="eastAsia" w:ascii="仿宋" w:hAnsi="仿宋"/>
          <w:sz w:val="21"/>
          <w:lang w:eastAsia="zh-CN"/>
        </w:rPr>
        <w:t>数据来源：北京新锦成教育技术有限公司</w:t>
      </w:r>
    </w:p>
    <w:p>
      <w:pPr>
        <w:pStyle w:val="3"/>
        <w:ind w:firstLine="643"/>
        <w:rPr>
          <w:lang w:eastAsia="zh-CN"/>
        </w:rPr>
      </w:pPr>
      <w:bookmarkStart w:id="90" w:name="_Toc151887733"/>
      <w:r>
        <w:rPr>
          <w:rFonts w:hint="eastAsia"/>
          <w:lang w:eastAsia="zh-CN"/>
        </w:rPr>
        <w:t>（一）</w:t>
      </w:r>
      <w:r>
        <w:rPr>
          <w:lang w:eastAsia="zh-CN"/>
        </w:rPr>
        <w:t>各</w:t>
      </w:r>
      <w:r>
        <w:rPr>
          <w:rFonts w:hint="eastAsia"/>
          <w:lang w:eastAsia="zh-CN"/>
        </w:rPr>
        <w:t>学院就业单位分布</w:t>
      </w:r>
      <w:bookmarkEnd w:id="90"/>
    </w:p>
    <w:p>
      <w:pPr>
        <w:ind w:firstLine="640"/>
        <w:rPr>
          <w:lang w:eastAsia="zh-CN"/>
        </w:rPr>
      </w:pPr>
      <w:r>
        <w:rPr>
          <w:rFonts w:hint="eastAsia"/>
          <w:lang w:eastAsia="zh-CN"/>
        </w:rPr>
        <w:t>各学院毕业生主要就业单位分布：如下表所示。</w:t>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r>
        <w:rPr>
          <w:rFonts w:hint="eastAsia" w:eastAsia="黑体"/>
          <w:b/>
          <w:sz w:val="21"/>
          <w:lang w:eastAsia="zh-CN"/>
        </w:rPr>
        <w:t>表3.</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表1-2-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22</w:t>
      </w:r>
      <w:r>
        <w:rPr>
          <w:rFonts w:eastAsia="黑体"/>
          <w:b/>
          <w:sz w:val="21"/>
          <w:lang w:eastAsia="zh-CN"/>
        </w:rPr>
        <w:fldChar w:fldCharType="end"/>
      </w:r>
      <w:r>
        <w:rPr>
          <w:rFonts w:eastAsia="宋体"/>
          <w:b/>
          <w:sz w:val="24"/>
          <w:szCs w:val="24"/>
          <w:lang w:eastAsia="zh-CN"/>
        </w:rPr>
        <w:t xml:space="preserve">  </w:t>
      </w:r>
      <w:r>
        <w:rPr>
          <w:rFonts w:hint="eastAsia" w:eastAsia="宋体"/>
          <w:b/>
          <w:sz w:val="24"/>
          <w:szCs w:val="24"/>
          <w:lang w:eastAsia="zh-CN"/>
        </w:rPr>
        <w:t>2022届各学院毕业生就业单位性质分布</w:t>
      </w:r>
    </w:p>
    <w:tbl>
      <w:tblPr>
        <w:tblStyle w:val="37"/>
        <w:tblW w:w="8926" w:type="dxa"/>
        <w:jc w:val="cente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2263"/>
        <w:gridCol w:w="6663"/>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jc w:val="center"/>
        </w:trPr>
        <w:tc>
          <w:tcPr>
            <w:tcW w:w="2263" w:type="dxa"/>
            <w:tcBorders>
              <w:top w:val="single" w:color="0F6FC6" w:sz="4" w:space="0"/>
              <w:left w:val="single" w:color="0F6FC6" w:sz="4" w:space="0"/>
              <w:bottom w:val="single" w:color="0F6FC6" w:sz="4" w:space="0"/>
              <w:right w:val="nil"/>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cs="微软雅黑"/>
                <w:b/>
                <w:bCs/>
                <w:snapToGrid/>
                <w:color w:val="CCE8CF"/>
                <w:sz w:val="21"/>
                <w:lang w:eastAsia="zh-CN"/>
              </w:rPr>
              <w:t>学院</w:t>
            </w:r>
          </w:p>
        </w:tc>
        <w:tc>
          <w:tcPr>
            <w:tcW w:w="6663" w:type="dxa"/>
            <w:tcBorders>
              <w:top w:val="single" w:color="0F6FC6" w:sz="4" w:space="0"/>
              <w:bottom w:val="single" w:color="0F6FC6" w:sz="4" w:space="0"/>
              <w:right w:val="single" w:color="0F6FC6"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b/>
                <w:bCs/>
                <w:snapToGrid/>
                <w:color w:val="CCE8CF"/>
                <w:sz w:val="21"/>
                <w:lang w:eastAsia="zh-CN"/>
              </w:rPr>
              <w:t>主要就业单位</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化学与材料工程学院</w:t>
            </w:r>
          </w:p>
        </w:tc>
        <w:tc>
          <w:tcPr>
            <w:tcW w:w="6663"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民营企业/个体（94.44%）、其他（5.56%）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国际护理学院</w:t>
            </w:r>
          </w:p>
        </w:tc>
        <w:tc>
          <w:tcPr>
            <w:tcW w:w="6663"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医疗卫生单位（61.54%）、高等教育单位（15.38%）、国有企业（7.69%）、民营企业/个体（7.69%）、城镇社区（7.69%）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机电工程学院</w:t>
            </w:r>
          </w:p>
        </w:tc>
        <w:tc>
          <w:tcPr>
            <w:tcW w:w="6663"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民营企业/个体（52.00%）、国有企业（28.00%）、高等教育单位（8.00%）、医疗卫生单位（4.00%）、部队（4.00%）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城建学院</w:t>
            </w:r>
          </w:p>
        </w:tc>
        <w:tc>
          <w:tcPr>
            <w:tcW w:w="6663"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民营企业/个体（50.00%）、其他（22.22%）、高等教育单位（11.11%）、国有企业（11.11%）、三资企业（中外合资经营企业、中外合作经营企业、外商独资经营企业）（5.56%）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信息工程学院</w:t>
            </w:r>
          </w:p>
        </w:tc>
        <w:tc>
          <w:tcPr>
            <w:tcW w:w="6663"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民营企业/个体（22.73%）、高等教育单位（18.18%）、其他事业单位（18.18%）、国有企业（18.18%）、党政机关（13.64%）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健康科学学院</w:t>
            </w:r>
          </w:p>
        </w:tc>
        <w:tc>
          <w:tcPr>
            <w:tcW w:w="6663"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*民营企业/个体（37.50%）、党政机关（25.00%）、高等教育单位（12.50%）、其他事业单位（12.50%）、国有企业（12.50%）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海事学院</w:t>
            </w:r>
          </w:p>
        </w:tc>
        <w:tc>
          <w:tcPr>
            <w:tcW w:w="6663"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*国有企业（100.00%）</w:t>
            </w:r>
          </w:p>
        </w:tc>
      </w:tr>
    </w:tbl>
    <w:p>
      <w:pPr>
        <w:pBdr>
          <w:top w:val="none" w:color="000000" w:sz="0" w:space="0"/>
          <w:left w:val="none" w:color="000000" w:sz="0" w:space="0"/>
          <w:bottom w:val="none" w:color="000000" w:sz="0" w:space="0"/>
          <w:right w:val="none" w:color="000000" w:sz="0" w:space="0"/>
          <w:between w:val="none" w:color="000000" w:sz="0" w:space="0"/>
        </w:pBdr>
        <w:spacing w:before="163" w:after="163" w:line="240" w:lineRule="auto"/>
        <w:jc w:val="both"/>
        <w:rPr>
          <w:rFonts w:ascii="黑体" w:hAnsi="黑体" w:eastAsia="黑体"/>
          <w:sz w:val="21"/>
          <w:lang w:val="zh-CN" w:eastAsia="zh-CN"/>
        </w:rPr>
      </w:pPr>
      <w:r>
        <w:rPr>
          <w:rFonts w:hint="eastAsia" w:ascii="黑体" w:hAnsi="黑体" w:eastAsia="黑体"/>
          <w:sz w:val="21"/>
          <w:lang w:val="zh-CN" w:eastAsia="zh-CN"/>
        </w:rPr>
        <w:t>注：*</w:t>
      </w:r>
      <w:r>
        <w:rPr>
          <w:rFonts w:ascii="黑体" w:hAnsi="黑体" w:eastAsia="黑体"/>
          <w:sz w:val="21"/>
          <w:lang w:val="zh-CN" w:eastAsia="zh-CN"/>
        </w:rPr>
        <w:t>学院</w:t>
      </w:r>
      <w:r>
        <w:rPr>
          <w:rFonts w:hint="eastAsia" w:ascii="黑体" w:hAnsi="黑体" w:eastAsia="黑体"/>
          <w:sz w:val="21"/>
          <w:lang w:val="zh-CN" w:eastAsia="zh-CN"/>
        </w:rPr>
        <w:t>样本量较小，其分析结果仅供参考，不纳入到报告此处分析范畴。</w:t>
      </w:r>
    </w:p>
    <w:p>
      <w:pPr>
        <w:rPr>
          <w:snapToGrid/>
          <w:sz w:val="21"/>
          <w:lang w:eastAsia="zh-CN"/>
        </w:rPr>
      </w:pPr>
      <w:r>
        <w:rPr>
          <w:rFonts w:hint="eastAsia" w:ascii="仿宋" w:hAnsi="仿宋"/>
          <w:sz w:val="21"/>
          <w:lang w:eastAsia="zh-CN"/>
        </w:rPr>
        <w:t>数据来源：北京新锦成教育技术有限公司</w:t>
      </w:r>
    </w:p>
    <w:p>
      <w:pPr>
        <w:pStyle w:val="3"/>
        <w:ind w:firstLine="643"/>
        <w:rPr>
          <w:lang w:eastAsia="zh-CN"/>
        </w:rPr>
      </w:pPr>
      <w:bookmarkStart w:id="91" w:name="_Toc151887734"/>
      <w:r>
        <w:rPr>
          <w:rFonts w:hint="eastAsia"/>
          <w:lang w:eastAsia="zh-CN"/>
        </w:rPr>
        <w:t>（二）</w:t>
      </w:r>
      <w:r>
        <w:rPr>
          <w:lang w:eastAsia="zh-CN"/>
        </w:rPr>
        <w:t>各</w:t>
      </w:r>
      <w:r>
        <w:rPr>
          <w:rFonts w:hint="eastAsia"/>
          <w:lang w:eastAsia="zh-CN"/>
        </w:rPr>
        <w:t>专业就业单位分布</w:t>
      </w:r>
      <w:bookmarkEnd w:id="91"/>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r>
        <w:rPr>
          <w:rFonts w:hint="eastAsia" w:eastAsia="黑体"/>
          <w:b/>
          <w:sz w:val="21"/>
          <w:lang w:eastAsia="zh-CN"/>
        </w:rPr>
        <w:t xml:space="preserve">表3. </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表1-2-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23</w:t>
      </w:r>
      <w:r>
        <w:rPr>
          <w:rFonts w:eastAsia="黑体"/>
          <w:b/>
          <w:sz w:val="21"/>
          <w:lang w:eastAsia="zh-CN"/>
        </w:rPr>
        <w:fldChar w:fldCharType="end"/>
      </w:r>
      <w:r>
        <w:rPr>
          <w:rFonts w:eastAsia="宋体"/>
          <w:b/>
          <w:sz w:val="24"/>
          <w:szCs w:val="24"/>
          <w:lang w:eastAsia="zh-CN"/>
        </w:rPr>
        <w:t xml:space="preserve">  2022届各专业</w:t>
      </w:r>
      <w:r>
        <w:rPr>
          <w:rFonts w:hint="eastAsia" w:eastAsia="宋体"/>
          <w:b/>
          <w:sz w:val="24"/>
          <w:szCs w:val="24"/>
          <w:lang w:eastAsia="zh-CN"/>
        </w:rPr>
        <w:t>毕业生</w:t>
      </w:r>
      <w:r>
        <w:rPr>
          <w:rFonts w:eastAsia="宋体"/>
          <w:b/>
          <w:sz w:val="24"/>
          <w:szCs w:val="24"/>
          <w:lang w:eastAsia="zh-CN"/>
        </w:rPr>
        <w:t>就业单位性质分布</w:t>
      </w:r>
    </w:p>
    <w:tbl>
      <w:tblPr>
        <w:tblStyle w:val="37"/>
        <w:tblW w:w="5087" w:type="pct"/>
        <w:jc w:val="cente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fixed"/>
        <w:tblCellMar>
          <w:top w:w="0" w:type="dxa"/>
          <w:left w:w="108" w:type="dxa"/>
          <w:bottom w:w="0" w:type="dxa"/>
          <w:right w:w="108" w:type="dxa"/>
        </w:tblCellMar>
      </w:tblPr>
      <w:tblGrid>
        <w:gridCol w:w="2568"/>
        <w:gridCol w:w="7567"/>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jc w:val="center"/>
        </w:trPr>
        <w:tc>
          <w:tcPr>
            <w:tcW w:w="2263" w:type="dxa"/>
            <w:tcBorders>
              <w:top w:val="single" w:color="0F6FC6" w:sz="4" w:space="0"/>
              <w:left w:val="single" w:color="0F6FC6" w:sz="4" w:space="0"/>
              <w:bottom w:val="single" w:color="0F6FC6" w:sz="4" w:space="0"/>
              <w:right w:val="nil"/>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color w:val="CCE8CF"/>
                <w:sz w:val="21"/>
                <w:lang w:eastAsia="zh-CN"/>
              </w:rPr>
            </w:pPr>
            <w:r>
              <w:rPr>
                <w:rFonts w:hint="eastAsia" w:eastAsia="Calibri"/>
                <w:b/>
                <w:bCs/>
                <w:snapToGrid/>
                <w:color w:val="CCE8CF"/>
                <w:sz w:val="21"/>
                <w:lang w:eastAsia="zh-CN"/>
              </w:rPr>
              <w:t>专业</w:t>
            </w:r>
          </w:p>
        </w:tc>
        <w:tc>
          <w:tcPr>
            <w:tcW w:w="6668" w:type="dxa"/>
            <w:tcBorders>
              <w:top w:val="single" w:color="0F6FC6" w:sz="4" w:space="0"/>
              <w:bottom w:val="single" w:color="0F6FC6" w:sz="4" w:space="0"/>
              <w:right w:val="single" w:color="0F6FC6"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color w:val="CCE8CF"/>
                <w:sz w:val="21"/>
                <w:lang w:eastAsia="zh-CN"/>
              </w:rPr>
            </w:pPr>
            <w:r>
              <w:rPr>
                <w:rFonts w:hint="eastAsia" w:eastAsia="Calibri"/>
                <w:b/>
                <w:bCs/>
                <w:snapToGrid/>
                <w:color w:val="CCE8CF"/>
                <w:sz w:val="21"/>
                <w:lang w:eastAsia="zh-CN"/>
              </w:rPr>
              <w:t>主要就业单位</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制药工程</w:t>
            </w:r>
          </w:p>
        </w:tc>
        <w:tc>
          <w:tcPr>
            <w:tcW w:w="6668"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民营企业/个体（93.75%）、其他（6.25%）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护理</w:t>
            </w:r>
          </w:p>
        </w:tc>
        <w:tc>
          <w:tcPr>
            <w:tcW w:w="6668"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医疗卫生单位（61.54%）、高等教育单位（15.38%）、国有企业（7.69%）、民营企业/个体（7.69%）、城镇社区（7.69%）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机械设计制造类</w:t>
            </w:r>
          </w:p>
        </w:tc>
        <w:tc>
          <w:tcPr>
            <w:tcW w:w="6668"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民营企业/个体（52.00%）、国有企业（28.00%）、高等教育单位（8.00%）、医疗卫生单位（4.00%）、部队（4.00%）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土木工程</w:t>
            </w:r>
          </w:p>
        </w:tc>
        <w:tc>
          <w:tcPr>
            <w:tcW w:w="6668"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民营企业/个体（50.00%）、其他（22.22%）、高等教育单位（11.11%）、国有企业（11.11%）、三资企业（中外合资经营企业、中外合作经营企业、外商独资经营企业）（5.56%）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大数据技术与应用</w:t>
            </w:r>
          </w:p>
        </w:tc>
        <w:tc>
          <w:tcPr>
            <w:tcW w:w="6668"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高等教育单位（33.33%）、党政机关（16.67%）、其他事业单位（16.67%）、民营企业/个体（16.67%）、国有企业（8.33%）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物联网工程</w:t>
            </w:r>
          </w:p>
        </w:tc>
        <w:tc>
          <w:tcPr>
            <w:tcW w:w="6668"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国有企业（30.00%）、民营企业/个体（30.00%）、其他事业单位（20.00%）、党政机关（10.00%）、科研设计单位（10.00%）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健康服务与管理</w:t>
            </w:r>
          </w:p>
        </w:tc>
        <w:tc>
          <w:tcPr>
            <w:tcW w:w="6668"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*民营企业/个体（37.50%）、党政机关（25.00%）、高等教育单位（12.50%）、其他事业单位（12.50%）、国有企业（12.50%）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化学工程与工艺</w:t>
            </w:r>
          </w:p>
        </w:tc>
        <w:tc>
          <w:tcPr>
            <w:tcW w:w="6668"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*民营企业/个体（100.00%）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水路运输与海事管理</w:t>
            </w:r>
          </w:p>
        </w:tc>
        <w:tc>
          <w:tcPr>
            <w:tcW w:w="6668"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*国有企业（100.00%）</w:t>
            </w:r>
          </w:p>
        </w:tc>
      </w:tr>
    </w:tbl>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Chars="0"/>
        <w:jc w:val="both"/>
        <w:textAlignment w:val="auto"/>
        <w:rPr>
          <w:rFonts w:ascii="黑体" w:hAnsi="黑体" w:eastAsia="黑体"/>
          <w:snapToGrid/>
          <w:sz w:val="21"/>
          <w:lang w:eastAsia="zh-CN"/>
        </w:rPr>
      </w:pPr>
      <w:r>
        <w:rPr>
          <w:rFonts w:ascii="黑体" w:hAnsi="黑体" w:eastAsia="黑体"/>
          <w:snapToGrid/>
          <w:sz w:val="21"/>
          <w:lang w:eastAsia="zh-CN"/>
        </w:rPr>
        <w:t>注：</w:t>
      </w:r>
      <w:r>
        <w:rPr>
          <w:rFonts w:hint="eastAsia" w:ascii="黑体" w:hAnsi="黑体" w:eastAsia="黑体"/>
          <w:snapToGrid/>
          <w:sz w:val="21"/>
          <w:lang w:eastAsia="zh-CN"/>
        </w:rPr>
        <w:t>*</w:t>
      </w:r>
      <w:r>
        <w:rPr>
          <w:rFonts w:ascii="黑体" w:hAnsi="黑体" w:eastAsia="黑体"/>
          <w:snapToGrid/>
          <w:sz w:val="21"/>
          <w:lang w:eastAsia="zh-CN"/>
        </w:rPr>
        <w:t>专业样本量较小，</w:t>
      </w:r>
      <w:r>
        <w:rPr>
          <w:rFonts w:hint="eastAsia" w:ascii="黑体" w:hAnsi="黑体" w:eastAsia="黑体"/>
          <w:snapToGrid/>
          <w:sz w:val="21"/>
          <w:lang w:eastAsia="zh-CN"/>
        </w:rPr>
        <w:t>其分析结果仅供参考，</w:t>
      </w:r>
      <w:r>
        <w:rPr>
          <w:rFonts w:ascii="黑体" w:hAnsi="黑体" w:eastAsia="黑体"/>
          <w:snapToGrid/>
          <w:sz w:val="21"/>
          <w:lang w:eastAsia="zh-CN"/>
        </w:rPr>
        <w:t>不纳入到报告</w:t>
      </w:r>
      <w:r>
        <w:rPr>
          <w:rFonts w:hint="eastAsia" w:ascii="黑体" w:hAnsi="黑体" w:eastAsia="黑体"/>
          <w:snapToGrid/>
          <w:sz w:val="21"/>
          <w:lang w:eastAsia="zh-CN"/>
        </w:rPr>
        <w:t>此处</w:t>
      </w:r>
      <w:r>
        <w:rPr>
          <w:rFonts w:ascii="黑体" w:hAnsi="黑体" w:eastAsia="黑体"/>
          <w:snapToGrid/>
          <w:sz w:val="21"/>
          <w:lang w:eastAsia="zh-CN"/>
        </w:rPr>
        <w:t>分析范畴。</w:t>
      </w:r>
    </w:p>
    <w:p>
      <w:pPr>
        <w:rPr>
          <w:snapToGrid/>
          <w:sz w:val="21"/>
          <w:lang w:eastAsia="zh-CN"/>
        </w:rPr>
      </w:pPr>
      <w:r>
        <w:rPr>
          <w:rFonts w:hint="eastAsia" w:ascii="仿宋" w:hAnsi="仿宋"/>
          <w:sz w:val="21"/>
          <w:lang w:eastAsia="zh-CN"/>
        </w:rPr>
        <w:t>数据来源：北京新锦成教育技术有限公司</w:t>
      </w:r>
    </w:p>
    <w:p>
      <w:pPr>
        <w:pStyle w:val="3"/>
        <w:ind w:firstLine="643"/>
        <w:rPr>
          <w:lang w:eastAsia="zh-CN"/>
        </w:rPr>
      </w:pPr>
      <w:bookmarkStart w:id="92" w:name="_Toc151887735"/>
      <w:r>
        <w:rPr>
          <w:rFonts w:hint="eastAsia"/>
          <w:lang w:eastAsia="zh-CN"/>
        </w:rPr>
        <w:t>（三）主要就业单位就业质量差异分析</w:t>
      </w:r>
      <w:bookmarkEnd w:id="92"/>
    </w:p>
    <w:p>
      <w:pPr>
        <w:ind w:firstLine="640"/>
        <w:rPr>
          <w:lang w:eastAsia="zh-CN"/>
        </w:rPr>
      </w:pPr>
      <w:r>
        <w:rPr>
          <w:rFonts w:hint="eastAsia"/>
          <w:lang w:eastAsia="zh-CN"/>
        </w:rPr>
        <w:t>主要就业单位月均收入：就业于医疗卫生单位（5357元）、民营企业/个体（5265元）的毕业生薪酬优势较高。</w:t>
      </w:r>
    </w:p>
    <w:p>
      <w:pPr>
        <w:pBdr>
          <w:top w:val="none" w:color="000000" w:sz="0" w:space="0"/>
          <w:left w:val="none" w:color="000000" w:sz="0" w:space="0"/>
          <w:bottom w:val="none" w:color="000000" w:sz="0" w:space="0"/>
          <w:right w:val="none" w:color="000000" w:sz="0" w:space="0"/>
          <w:between w:val="none" w:color="000000" w:sz="0" w:space="0"/>
        </w:pBdr>
        <w:spacing w:line="360" w:lineRule="auto"/>
        <w:ind w:firstLine="480"/>
        <w:jc w:val="center"/>
        <w:rPr>
          <w:rFonts w:eastAsia="Calibri" w:cs="宋体"/>
          <w:sz w:val="24"/>
          <w:lang w:eastAsia="zh-CN"/>
        </w:rPr>
      </w:pPr>
      <w:r>
        <w:rPr>
          <w:rFonts w:eastAsia="Calibri" w:cs="宋体"/>
          <w:sz w:val="24"/>
          <w:lang w:eastAsia="zh-CN"/>
        </w:rPr>
        <w:drawing>
          <wp:inline distT="0" distB="0" distL="0" distR="0">
            <wp:extent cx="4714875" cy="2066925"/>
            <wp:effectExtent l="0" t="0" r="9525" b="3175"/>
            <wp:docPr id="86"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r>
        <w:rPr>
          <w:rFonts w:hint="eastAsia" w:eastAsia="黑体"/>
          <w:b/>
          <w:sz w:val="21"/>
          <w:lang w:eastAsia="zh-CN"/>
        </w:rPr>
        <w:t xml:space="preserve">图3. </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33</w:t>
      </w:r>
      <w:r>
        <w:rPr>
          <w:rFonts w:eastAsia="黑体"/>
          <w:b/>
          <w:sz w:val="21"/>
          <w:lang w:eastAsia="zh-CN"/>
        </w:rPr>
        <w:fldChar w:fldCharType="end"/>
      </w:r>
      <w:r>
        <w:rPr>
          <w:rFonts w:eastAsia="黑体"/>
          <w:b/>
          <w:sz w:val="21"/>
          <w:lang w:eastAsia="zh-CN"/>
        </w:rPr>
        <w:t xml:space="preserve"> </w:t>
      </w:r>
      <w:r>
        <w:rPr>
          <w:rFonts w:hint="eastAsia" w:eastAsia="黑体"/>
          <w:b/>
          <w:sz w:val="21"/>
          <w:lang w:eastAsia="zh-CN"/>
        </w:rPr>
        <w:t xml:space="preserve"> 2022届毕业生主要就业单位月均收入</w:t>
      </w:r>
      <w:r>
        <w:rPr>
          <w:rFonts w:eastAsia="黑体"/>
          <w:b/>
          <w:sz w:val="21"/>
          <w:lang w:eastAsia="zh-CN"/>
        </w:rPr>
        <w:t>分布</w:t>
      </w:r>
      <w:r>
        <w:rPr>
          <w:rFonts w:hint="eastAsia" w:eastAsia="黑体"/>
          <w:b/>
          <w:sz w:val="21"/>
          <w:lang w:eastAsia="zh-CN"/>
        </w:rPr>
        <w:t xml:space="preserve"> （单位</w:t>
      </w:r>
      <w:r>
        <w:rPr>
          <w:rFonts w:eastAsia="黑体"/>
          <w:b/>
          <w:sz w:val="21"/>
          <w:lang w:eastAsia="zh-CN"/>
        </w:rPr>
        <w:t>：元</w:t>
      </w:r>
      <w:r>
        <w:rPr>
          <w:rFonts w:hint="eastAsia" w:eastAsia="黑体"/>
          <w:b/>
          <w:sz w:val="21"/>
          <w:lang w:eastAsia="zh-CN"/>
        </w:rPr>
        <w:t>）</w:t>
      </w:r>
    </w:p>
    <w:p>
      <w:pPr>
        <w:rPr>
          <w:snapToGrid/>
          <w:sz w:val="21"/>
          <w:lang w:eastAsia="zh-CN"/>
        </w:rPr>
      </w:pPr>
      <w:r>
        <w:rPr>
          <w:rFonts w:hint="eastAsia" w:ascii="仿宋" w:hAnsi="仿宋"/>
          <w:sz w:val="21"/>
          <w:lang w:eastAsia="zh-CN"/>
        </w:rPr>
        <w:t>数据来源：北京新锦成教育技术有限公司</w:t>
      </w:r>
    </w:p>
    <w:p>
      <w:pPr>
        <w:ind w:firstLine="640"/>
        <w:rPr>
          <w:lang w:eastAsia="zh-CN"/>
        </w:rPr>
      </w:pPr>
      <w:r>
        <w:rPr>
          <w:rFonts w:hint="eastAsia"/>
          <w:lang w:eastAsia="zh-CN"/>
        </w:rPr>
        <w:t>主要就业单位工作满意度：就业于医疗卫生单位（100.00%）的毕业生对目前工作总体的满意度评价相对较高；而就业于国有企业的毕业生对目前工作总体的满意度评价相对较低。</w:t>
      </w:r>
    </w:p>
    <w:p>
      <w:pPr>
        <w:pBdr>
          <w:top w:val="none" w:color="000000" w:sz="0" w:space="0"/>
          <w:left w:val="none" w:color="000000" w:sz="0" w:space="0"/>
          <w:bottom w:val="none" w:color="000000" w:sz="0" w:space="0"/>
          <w:right w:val="none" w:color="000000" w:sz="0" w:space="0"/>
          <w:between w:val="none" w:color="000000" w:sz="0" w:space="0"/>
        </w:pBdr>
        <w:spacing w:line="360" w:lineRule="auto"/>
        <w:ind w:firstLine="480"/>
        <w:jc w:val="center"/>
        <w:rPr>
          <w:rFonts w:eastAsia="Calibri" w:cs="宋体"/>
          <w:sz w:val="24"/>
          <w:lang w:eastAsia="zh-CN"/>
        </w:rPr>
      </w:pPr>
      <w:r>
        <w:rPr>
          <w:rFonts w:eastAsia="Calibri" w:cs="宋体"/>
          <w:sz w:val="24"/>
          <w:lang w:eastAsia="zh-CN"/>
        </w:rPr>
        <w:drawing>
          <wp:inline distT="0" distB="0" distL="0" distR="0">
            <wp:extent cx="4886325" cy="2143125"/>
            <wp:effectExtent l="0" t="0" r="3175" b="3175"/>
            <wp:docPr id="87"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r>
        <w:rPr>
          <w:rFonts w:hint="eastAsia" w:eastAsia="黑体"/>
          <w:b/>
          <w:sz w:val="21"/>
          <w:lang w:eastAsia="zh-CN"/>
        </w:rPr>
        <w:t>图3.</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34</w:t>
      </w:r>
      <w:r>
        <w:rPr>
          <w:rFonts w:eastAsia="黑体"/>
          <w:b/>
          <w:sz w:val="21"/>
          <w:lang w:eastAsia="zh-CN"/>
        </w:rPr>
        <w:fldChar w:fldCharType="end"/>
      </w:r>
      <w:r>
        <w:rPr>
          <w:rFonts w:eastAsia="黑体"/>
          <w:b/>
          <w:sz w:val="21"/>
          <w:lang w:eastAsia="zh-CN"/>
        </w:rPr>
        <w:t xml:space="preserve"> </w:t>
      </w:r>
      <w:r>
        <w:rPr>
          <w:rFonts w:hint="eastAsia" w:eastAsia="黑体"/>
          <w:b/>
          <w:sz w:val="21"/>
          <w:lang w:eastAsia="zh-CN"/>
        </w:rPr>
        <w:t xml:space="preserve"> 2022届毕业生主要就业单位工作满意度</w:t>
      </w:r>
      <w:r>
        <w:rPr>
          <w:rFonts w:eastAsia="黑体"/>
          <w:b/>
          <w:sz w:val="21"/>
          <w:lang w:eastAsia="zh-CN"/>
        </w:rPr>
        <w:t>分布</w:t>
      </w:r>
      <w:r>
        <w:rPr>
          <w:rFonts w:hint="eastAsia" w:eastAsia="黑体"/>
          <w:b/>
          <w:sz w:val="21"/>
          <w:lang w:eastAsia="zh-CN"/>
        </w:rPr>
        <w:t xml:space="preserve"> </w:t>
      </w:r>
    </w:p>
    <w:p>
      <w:pPr>
        <w:rPr>
          <w:snapToGrid/>
          <w:sz w:val="21"/>
          <w:lang w:eastAsia="zh-CN"/>
        </w:rPr>
      </w:pPr>
      <w:r>
        <w:rPr>
          <w:rFonts w:hint="eastAsia" w:ascii="仿宋" w:hAnsi="仿宋"/>
          <w:sz w:val="21"/>
          <w:lang w:eastAsia="zh-CN"/>
        </w:rPr>
        <w:t>数据来源：北京新锦成教育技术有限公司</w:t>
      </w:r>
    </w:p>
    <w:p>
      <w:pPr>
        <w:ind w:firstLine="640"/>
        <w:rPr>
          <w:lang w:eastAsia="zh-CN"/>
        </w:rPr>
      </w:pPr>
      <w:r>
        <w:rPr>
          <w:rFonts w:hint="eastAsia"/>
          <w:lang w:eastAsia="zh-CN"/>
        </w:rPr>
        <w:t>主要就业单位离职率：就业于民营企业/个体（</w:t>
      </w:r>
      <w:r>
        <w:rPr>
          <w:lang w:eastAsia="zh-CN"/>
        </w:rPr>
        <w:t>34.78</w:t>
      </w:r>
      <w:r>
        <w:rPr>
          <w:rFonts w:hint="eastAsia"/>
          <w:lang w:eastAsia="zh-CN"/>
        </w:rPr>
        <w:t>%）的毕业生的离职率相对较高；而就业国有企业（</w:t>
      </w:r>
      <w:r>
        <w:rPr>
          <w:lang w:eastAsia="zh-CN"/>
        </w:rPr>
        <w:t>12.50%</w:t>
      </w:r>
      <w:r>
        <w:rPr>
          <w:rFonts w:hint="eastAsia"/>
          <w:lang w:eastAsia="zh-CN"/>
        </w:rPr>
        <w:t>）的毕业生的离职率相对较低。</w:t>
      </w:r>
    </w:p>
    <w:p>
      <w:pPr>
        <w:pBdr>
          <w:top w:val="none" w:color="000000" w:sz="0" w:space="0"/>
          <w:left w:val="none" w:color="000000" w:sz="0" w:space="0"/>
          <w:bottom w:val="none" w:color="000000" w:sz="0" w:space="0"/>
          <w:right w:val="none" w:color="000000" w:sz="0" w:space="0"/>
          <w:between w:val="none" w:color="000000" w:sz="0" w:space="0"/>
        </w:pBdr>
        <w:spacing w:line="360" w:lineRule="auto"/>
        <w:ind w:firstLine="480"/>
        <w:jc w:val="center"/>
        <w:rPr>
          <w:rFonts w:eastAsia="Calibri" w:cs="宋体"/>
          <w:sz w:val="24"/>
          <w:lang w:eastAsia="zh-CN"/>
        </w:rPr>
      </w:pPr>
      <w:r>
        <w:rPr>
          <w:rFonts w:eastAsia="Calibri" w:cs="宋体"/>
          <w:sz w:val="24"/>
          <w:lang w:eastAsia="zh-CN"/>
        </w:rPr>
        <w:drawing>
          <wp:inline distT="0" distB="0" distL="0" distR="0">
            <wp:extent cx="5018405" cy="2838450"/>
            <wp:effectExtent l="0" t="0" r="10795" b="6350"/>
            <wp:docPr id="88"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r>
        <w:rPr>
          <w:rFonts w:hint="eastAsia" w:eastAsia="黑体"/>
          <w:b/>
          <w:sz w:val="21"/>
          <w:lang w:eastAsia="zh-CN"/>
        </w:rPr>
        <w:t>图3.</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35</w:t>
      </w:r>
      <w:r>
        <w:rPr>
          <w:rFonts w:eastAsia="黑体"/>
          <w:b/>
          <w:sz w:val="21"/>
          <w:lang w:eastAsia="zh-CN"/>
        </w:rPr>
        <w:fldChar w:fldCharType="end"/>
      </w:r>
      <w:r>
        <w:rPr>
          <w:rFonts w:eastAsia="黑体"/>
          <w:b/>
          <w:sz w:val="21"/>
          <w:lang w:eastAsia="zh-CN"/>
        </w:rPr>
        <w:t xml:space="preserve"> </w:t>
      </w:r>
      <w:r>
        <w:rPr>
          <w:rFonts w:hint="eastAsia" w:eastAsia="黑体"/>
          <w:b/>
          <w:sz w:val="21"/>
          <w:lang w:eastAsia="zh-CN"/>
        </w:rPr>
        <w:t xml:space="preserve"> 2022届毕业生主要就业单位离职率</w:t>
      </w:r>
      <w:r>
        <w:rPr>
          <w:rFonts w:eastAsia="黑体"/>
          <w:b/>
          <w:sz w:val="21"/>
          <w:lang w:eastAsia="zh-CN"/>
        </w:rPr>
        <w:t>分布</w:t>
      </w:r>
      <w:r>
        <w:rPr>
          <w:rFonts w:hint="eastAsia" w:eastAsia="黑体"/>
          <w:b/>
          <w:sz w:val="21"/>
          <w:lang w:eastAsia="zh-CN"/>
        </w:rPr>
        <w:t xml:space="preserve"> </w:t>
      </w:r>
    </w:p>
    <w:p>
      <w:pPr>
        <w:rPr>
          <w:snapToGrid/>
          <w:sz w:val="21"/>
          <w:lang w:eastAsia="zh-CN"/>
        </w:rPr>
      </w:pPr>
      <w:r>
        <w:rPr>
          <w:rFonts w:hint="eastAsia" w:ascii="仿宋" w:hAnsi="仿宋"/>
          <w:sz w:val="21"/>
          <w:lang w:eastAsia="zh-CN"/>
        </w:rPr>
        <w:t>数据来源：北京新锦成教育技术有限公司</w:t>
      </w:r>
    </w:p>
    <w:p>
      <w:pPr>
        <w:ind w:firstLine="640"/>
        <w:rPr>
          <w:lang w:val="zh-CN" w:eastAsia="zh-CN"/>
        </w:rPr>
      </w:pPr>
      <w:r>
        <w:rPr>
          <w:rFonts w:hint="eastAsia"/>
          <w:lang w:val="zh-CN" w:eastAsia="zh-CN"/>
        </w:rPr>
        <w:t>就业企业规模：在就职于“国有企业”“民营企业/个体”“三资企业”的毕业生中，就业企业规模主要集中在“小微企业”，占比为40.91%</w:t>
      </w:r>
      <w:r>
        <w:rPr>
          <w:lang w:val="zh-CN" w:eastAsia="zh-CN"/>
        </w:rPr>
        <w:t>。</w:t>
      </w:r>
    </w:p>
    <w:p>
      <w:pPr>
        <w:pBdr>
          <w:top w:val="none" w:color="000000" w:sz="0" w:space="0"/>
          <w:left w:val="none" w:color="000000" w:sz="0" w:space="0"/>
          <w:bottom w:val="none" w:color="000000" w:sz="0" w:space="0"/>
          <w:right w:val="none" w:color="000000" w:sz="0" w:space="0"/>
          <w:between w:val="none" w:color="000000" w:sz="0" w:space="0"/>
        </w:pBdr>
        <w:spacing w:before="163" w:line="360" w:lineRule="auto"/>
        <w:ind w:firstLine="480"/>
        <w:jc w:val="center"/>
        <w:rPr>
          <w:rFonts w:eastAsia="宋体"/>
          <w:bCs/>
          <w:color w:val="0F6FC6"/>
          <w:sz w:val="24"/>
          <w:szCs w:val="30"/>
          <w:lang w:eastAsia="zh-CN"/>
        </w:rPr>
      </w:pPr>
      <w:r>
        <w:rPr>
          <w:rFonts w:eastAsia="宋体"/>
          <w:bCs/>
          <w:sz w:val="24"/>
          <w:szCs w:val="30"/>
          <w:lang w:eastAsia="zh-CN"/>
        </w:rPr>
        <w:drawing>
          <wp:inline distT="0" distB="0" distL="0" distR="0">
            <wp:extent cx="4650740" cy="2653030"/>
            <wp:effectExtent l="0" t="0" r="10160" b="1270"/>
            <wp:docPr id="89" name="图表 9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r>
        <w:rPr>
          <w:rFonts w:hint="eastAsia" w:eastAsia="黑体"/>
          <w:b/>
          <w:sz w:val="21"/>
          <w:lang w:eastAsia="zh-CN"/>
        </w:rPr>
        <w:t>图3.</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36</w:t>
      </w:r>
      <w:r>
        <w:rPr>
          <w:rFonts w:eastAsia="黑体"/>
          <w:b/>
          <w:sz w:val="21"/>
          <w:lang w:eastAsia="zh-CN"/>
        </w:rPr>
        <w:fldChar w:fldCharType="end"/>
      </w:r>
      <w:r>
        <w:rPr>
          <w:rFonts w:eastAsia="黑体"/>
          <w:b/>
          <w:sz w:val="21"/>
          <w:lang w:eastAsia="zh-CN"/>
        </w:rPr>
        <w:t xml:space="preserve"> </w:t>
      </w:r>
      <w:r>
        <w:rPr>
          <w:rFonts w:hint="eastAsia" w:eastAsia="黑体"/>
          <w:b/>
          <w:sz w:val="21"/>
          <w:lang w:eastAsia="zh-CN"/>
        </w:rPr>
        <w:t xml:space="preserve"> 2022届毕业生就业企业规模</w:t>
      </w:r>
      <w:r>
        <w:rPr>
          <w:rFonts w:eastAsia="黑体"/>
          <w:b/>
          <w:sz w:val="21"/>
          <w:lang w:eastAsia="zh-CN"/>
        </w:rPr>
        <w:t>分布</w:t>
      </w:r>
      <w:r>
        <w:rPr>
          <w:rFonts w:hint="eastAsia" w:eastAsia="黑体"/>
          <w:b/>
          <w:sz w:val="21"/>
          <w:lang w:eastAsia="zh-CN"/>
        </w:rPr>
        <w:t xml:space="preserve"> </w:t>
      </w:r>
    </w:p>
    <w:p>
      <w:pPr>
        <w:rPr>
          <w:snapToGrid/>
          <w:sz w:val="21"/>
          <w:lang w:eastAsia="zh-CN"/>
        </w:rPr>
      </w:pPr>
      <w:r>
        <w:rPr>
          <w:rFonts w:hint="eastAsia" w:ascii="仿宋" w:hAnsi="仿宋"/>
          <w:sz w:val="21"/>
          <w:lang w:eastAsia="zh-CN"/>
        </w:rPr>
        <w:t>数据来源：北京新锦成教育技术有限公司</w:t>
      </w:r>
    </w:p>
    <w:p>
      <w:pPr>
        <w:pageBreakBefore/>
        <w:pBdr>
          <w:top w:val="none" w:color="000000" w:sz="0" w:space="0"/>
          <w:left w:val="none" w:color="000000" w:sz="0" w:space="0"/>
          <w:bottom w:val="none" w:color="000000" w:sz="0" w:space="0"/>
          <w:right w:val="none" w:color="000000" w:sz="0" w:space="0"/>
          <w:between w:val="none" w:color="000000" w:sz="0" w:space="0"/>
        </w:pBdr>
        <w:spacing w:before="652" w:after="652" w:line="400" w:lineRule="exact"/>
        <w:ind w:firstLine="643"/>
        <w:jc w:val="center"/>
        <w:outlineLvl w:val="1"/>
        <w:rPr>
          <w:rFonts w:eastAsia="黑体"/>
          <w:b/>
          <w:bCs/>
          <w:szCs w:val="32"/>
          <w:lang w:eastAsia="zh-CN"/>
        </w:rPr>
      </w:pPr>
      <w:bookmarkStart w:id="93" w:name="_Toc148372426"/>
      <w:bookmarkStart w:id="94" w:name="_Toc130307095"/>
      <w:bookmarkStart w:id="95" w:name="_Toc151887736"/>
      <w:bookmarkStart w:id="96" w:name="_Toc129680123"/>
      <w:bookmarkStart w:id="97" w:name="_Toc126592348"/>
      <w:bookmarkStart w:id="98" w:name="_Toc426734656"/>
      <w:r>
        <w:rPr>
          <w:rFonts w:eastAsia="黑体"/>
          <w:b/>
          <w:bCs/>
          <w:szCs w:val="32"/>
          <w:lang w:eastAsia="zh-CN"/>
        </w:rPr>
        <w:t>第</w:t>
      </w:r>
      <w:r>
        <w:rPr>
          <w:rFonts w:hint="eastAsia" w:eastAsia="黑体"/>
          <w:b/>
          <w:bCs/>
          <w:szCs w:val="32"/>
          <w:lang w:eastAsia="zh-CN"/>
        </w:rPr>
        <w:t xml:space="preserve">三章 </w:t>
      </w:r>
      <w:r>
        <w:rPr>
          <w:rFonts w:eastAsia="黑体"/>
          <w:b/>
          <w:bCs/>
          <w:szCs w:val="32"/>
          <w:lang w:eastAsia="zh-CN"/>
        </w:rPr>
        <w:t xml:space="preserve"> 深造</w:t>
      </w:r>
      <w:r>
        <w:rPr>
          <w:rFonts w:hint="eastAsia" w:eastAsia="黑体"/>
          <w:b/>
          <w:bCs/>
          <w:szCs w:val="32"/>
          <w:lang w:eastAsia="zh-CN"/>
        </w:rPr>
        <w:t>与创业</w:t>
      </w:r>
      <w:bookmarkEnd w:id="93"/>
      <w:bookmarkEnd w:id="94"/>
      <w:bookmarkEnd w:id="95"/>
      <w:bookmarkEnd w:id="96"/>
      <w:bookmarkEnd w:id="97"/>
    </w:p>
    <w:p>
      <w:pPr>
        <w:pStyle w:val="2"/>
        <w:ind w:firstLine="640"/>
        <w:rPr>
          <w:lang w:eastAsia="zh-CN"/>
        </w:rPr>
      </w:pPr>
      <w:bookmarkStart w:id="99" w:name="_Toc148372427"/>
      <w:bookmarkStart w:id="100" w:name="_Toc126592349"/>
      <w:bookmarkStart w:id="101" w:name="_Toc129680124"/>
      <w:bookmarkStart w:id="102" w:name="_Toc130307096"/>
      <w:bookmarkStart w:id="103" w:name="_Toc151887737"/>
      <w:bookmarkStart w:id="104" w:name="_Toc426734660"/>
      <w:bookmarkStart w:id="105" w:name="_Toc425870666"/>
      <w:r>
        <w:rPr>
          <w:rFonts w:hint="eastAsia"/>
          <w:lang w:eastAsia="zh-CN"/>
        </w:rPr>
        <w:t>一</w:t>
      </w:r>
      <w:r>
        <w:rPr>
          <w:lang w:eastAsia="zh-CN"/>
        </w:rPr>
        <w:t>、</w:t>
      </w:r>
      <w:r>
        <w:rPr>
          <w:rFonts w:hint="eastAsia"/>
          <w:lang w:eastAsia="zh-CN"/>
        </w:rPr>
        <w:t>国内升学</w:t>
      </w:r>
      <w:bookmarkEnd w:id="99"/>
      <w:bookmarkEnd w:id="100"/>
      <w:bookmarkEnd w:id="101"/>
      <w:bookmarkEnd w:id="102"/>
      <w:bookmarkEnd w:id="103"/>
    </w:p>
    <w:p>
      <w:pPr>
        <w:ind w:firstLine="640"/>
        <w:rPr>
          <w:lang w:eastAsia="zh-CN"/>
        </w:rPr>
      </w:pPr>
      <w:r>
        <w:rPr>
          <w:lang w:eastAsia="zh-CN"/>
        </w:rPr>
        <w:t>国内</w:t>
      </w:r>
      <w:r>
        <w:rPr>
          <w:rFonts w:hint="eastAsia"/>
          <w:lang w:eastAsia="zh-CN"/>
        </w:rPr>
        <w:t>升学</w:t>
      </w:r>
      <w:r>
        <w:rPr>
          <w:lang w:eastAsia="zh-CN"/>
        </w:rPr>
        <w:t>率</w:t>
      </w:r>
      <w:r>
        <w:rPr>
          <w:rFonts w:hint="eastAsia"/>
          <w:lang w:eastAsia="zh-CN"/>
        </w:rPr>
        <w:t>：</w:t>
      </w:r>
      <w:r>
        <w:rPr>
          <w:lang w:eastAsia="zh-CN"/>
        </w:rPr>
        <w:t>调查结果显示，</w:t>
      </w:r>
      <w:r>
        <w:rPr>
          <w:lang w:val="zh-CN" w:eastAsia="zh-CN"/>
        </w:rPr>
        <w:t>本校2022</w:t>
      </w:r>
      <w:r>
        <w:rPr>
          <w:rFonts w:hint="eastAsia"/>
          <w:lang w:val="zh-CN" w:eastAsia="zh-CN"/>
        </w:rPr>
        <w:t>届毕业生国内升学率为0.69%，比全国高校</w:t>
      </w:r>
      <w:r>
        <w:rPr>
          <w:lang w:val="zh-CN" w:eastAsia="zh-CN"/>
        </w:rPr>
        <w:t>2022</w:t>
      </w:r>
      <w:r>
        <w:rPr>
          <w:rFonts w:hint="eastAsia"/>
          <w:lang w:val="zh-CN" w:eastAsia="zh-CN"/>
        </w:rPr>
        <w:t>届毕业生国内升学率（</w:t>
      </w:r>
      <w:r>
        <w:rPr>
          <w:lang w:val="zh-CN" w:eastAsia="zh-CN"/>
        </w:rPr>
        <w:t>21.73</w:t>
      </w:r>
      <w:r>
        <w:rPr>
          <w:rFonts w:hint="eastAsia"/>
          <w:lang w:eastAsia="zh-CN"/>
        </w:rPr>
        <w:t>%）</w:t>
      </w:r>
      <w:r>
        <w:rPr>
          <w:lang w:eastAsia="zh-CN"/>
        </w:rPr>
        <w:t>低21.04</w:t>
      </w:r>
      <w:r>
        <w:rPr>
          <w:rFonts w:hint="eastAsia"/>
          <w:lang w:eastAsia="zh-CN"/>
        </w:rPr>
        <w:t>个百分点</w:t>
      </w:r>
      <w:r>
        <w:rPr>
          <w:lang w:eastAsia="zh-CN"/>
        </w:rPr>
        <w:t>。</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163" w:after="156" w:line="360" w:lineRule="auto"/>
        <w:ind w:firstLine="480" w:firstLineChars="0"/>
        <w:jc w:val="center"/>
        <w:textAlignment w:val="auto"/>
        <w:rPr>
          <w:rFonts w:ascii="Calibri" w:hAnsi="Calibri" w:eastAsia="Calibri" w:cs="宋体"/>
          <w:snapToGrid/>
          <w:sz w:val="24"/>
          <w:lang w:eastAsia="zh-CN"/>
        </w:rPr>
      </w:pPr>
      <w:r>
        <w:rPr>
          <w:rFonts w:eastAsia="宋体"/>
          <w:snapToGrid/>
          <w:sz w:val="24"/>
          <w:lang w:eastAsia="zh-CN"/>
        </w:rPr>
        <w:drawing>
          <wp:inline distT="0" distB="0" distL="0" distR="0">
            <wp:extent cx="4676775" cy="1704975"/>
            <wp:effectExtent l="0" t="0" r="9525" b="9525"/>
            <wp:docPr id="933" name="图表 9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106" w:name="_Toc509389378"/>
      <w:bookmarkStart w:id="107" w:name="_Toc129867407"/>
      <w:bookmarkStart w:id="108" w:name="_Toc509483499"/>
      <w:r>
        <w:rPr>
          <w:rFonts w:hint="eastAsia" w:eastAsia="黑体"/>
          <w:b/>
          <w:sz w:val="21"/>
          <w:lang w:eastAsia="zh-CN"/>
        </w:rPr>
        <w:t>图3.</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37</w:t>
      </w:r>
      <w:r>
        <w:rPr>
          <w:rFonts w:eastAsia="黑体"/>
          <w:b/>
          <w:sz w:val="21"/>
          <w:lang w:eastAsia="zh-CN"/>
        </w:rPr>
        <w:fldChar w:fldCharType="end"/>
      </w:r>
      <w:r>
        <w:rPr>
          <w:rFonts w:eastAsia="黑体"/>
          <w:b/>
          <w:sz w:val="21"/>
          <w:lang w:eastAsia="zh-CN"/>
        </w:rPr>
        <w:t xml:space="preserve"> </w:t>
      </w:r>
      <w:r>
        <w:rPr>
          <w:rFonts w:hint="eastAsia" w:eastAsia="黑体"/>
          <w:b/>
          <w:sz w:val="21"/>
          <w:lang w:eastAsia="zh-CN"/>
        </w:rPr>
        <w:t xml:space="preserve"> </w:t>
      </w:r>
      <w:r>
        <w:rPr>
          <w:rFonts w:eastAsia="黑体"/>
          <w:b/>
          <w:sz w:val="21"/>
          <w:lang w:eastAsia="zh-CN"/>
        </w:rPr>
        <w:t>2022届</w:t>
      </w:r>
      <w:r>
        <w:rPr>
          <w:rFonts w:hint="eastAsia" w:eastAsia="黑体"/>
          <w:b/>
          <w:sz w:val="21"/>
          <w:lang w:eastAsia="zh-CN"/>
        </w:rPr>
        <w:t>毕业生国内升学</w:t>
      </w:r>
      <w:r>
        <w:rPr>
          <w:rFonts w:eastAsia="黑体"/>
          <w:b/>
          <w:sz w:val="21"/>
          <w:lang w:eastAsia="zh-CN"/>
        </w:rPr>
        <w:t>率对比分析</w:t>
      </w:r>
      <w:bookmarkEnd w:id="106"/>
      <w:bookmarkEnd w:id="107"/>
      <w:bookmarkEnd w:id="108"/>
      <w:r>
        <w:rPr>
          <w:rFonts w:hint="eastAsia" w:eastAsia="黑体"/>
          <w:b/>
          <w:sz w:val="21"/>
          <w:lang w:eastAsia="zh-CN"/>
        </w:rPr>
        <w:t xml:space="preserve"> </w:t>
      </w:r>
    </w:p>
    <w:p>
      <w:pPr>
        <w:rPr>
          <w:snapToGrid/>
          <w:sz w:val="21"/>
          <w:lang w:eastAsia="zh-CN"/>
        </w:rPr>
      </w:pPr>
      <w:r>
        <w:rPr>
          <w:rFonts w:hint="eastAsia" w:ascii="仿宋" w:hAnsi="仿宋"/>
          <w:sz w:val="21"/>
          <w:lang w:eastAsia="zh-CN"/>
        </w:rPr>
        <w:t>数据来源：北京新锦成教育技术有限公司</w:t>
      </w:r>
    </w:p>
    <w:p>
      <w:pPr>
        <w:pStyle w:val="2"/>
        <w:ind w:firstLine="640"/>
        <w:rPr>
          <w:lang w:eastAsia="zh-CN"/>
        </w:rPr>
      </w:pPr>
      <w:bookmarkStart w:id="109" w:name="_Toc126592350"/>
      <w:bookmarkStart w:id="110" w:name="_Toc148372428"/>
      <w:bookmarkStart w:id="111" w:name="_Toc129680125"/>
      <w:bookmarkStart w:id="112" w:name="_Toc130307097"/>
      <w:bookmarkStart w:id="113" w:name="_Toc151887738"/>
      <w:r>
        <w:rPr>
          <w:rFonts w:hint="eastAsia"/>
          <w:lang w:eastAsia="zh-CN"/>
        </w:rPr>
        <w:t>二</w:t>
      </w:r>
      <w:r>
        <w:rPr>
          <w:lang w:eastAsia="zh-CN"/>
        </w:rPr>
        <w:t>、</w:t>
      </w:r>
      <w:r>
        <w:rPr>
          <w:rFonts w:hint="eastAsia"/>
          <w:lang w:eastAsia="zh-CN"/>
        </w:rPr>
        <w:t>出国/出境</w:t>
      </w:r>
      <w:bookmarkEnd w:id="109"/>
      <w:r>
        <w:rPr>
          <w:rFonts w:hint="eastAsia"/>
          <w:lang w:eastAsia="zh-CN"/>
        </w:rPr>
        <w:t>留学</w:t>
      </w:r>
      <w:bookmarkEnd w:id="110"/>
      <w:bookmarkEnd w:id="111"/>
      <w:bookmarkEnd w:id="112"/>
      <w:bookmarkEnd w:id="113"/>
    </w:p>
    <w:p>
      <w:pPr>
        <w:ind w:firstLine="640"/>
        <w:rPr>
          <w:lang w:eastAsia="zh-CN"/>
        </w:rPr>
      </w:pPr>
      <w:r>
        <w:rPr>
          <w:rFonts w:hint="eastAsia"/>
          <w:lang w:eastAsia="zh-CN"/>
        </w:rPr>
        <w:t>出国/出境留学率：</w:t>
      </w:r>
      <w:r>
        <w:rPr>
          <w:lang w:eastAsia="zh-CN"/>
        </w:rPr>
        <w:t>调查结果显示，本校2022</w:t>
      </w:r>
      <w:r>
        <w:rPr>
          <w:rFonts w:hint="eastAsia"/>
          <w:lang w:eastAsia="zh-CN"/>
        </w:rPr>
        <w:t>届毕业生出国/出境留学</w:t>
      </w:r>
      <w:r>
        <w:rPr>
          <w:lang w:eastAsia="zh-CN"/>
        </w:rPr>
        <w:t>率为</w:t>
      </w:r>
      <w:r>
        <w:rPr>
          <w:rFonts w:hint="eastAsia"/>
          <w:lang w:eastAsia="zh-CN"/>
        </w:rPr>
        <w:t>1.39%，比全国高校</w:t>
      </w:r>
      <w:r>
        <w:rPr>
          <w:lang w:eastAsia="zh-CN"/>
        </w:rPr>
        <w:t>2022</w:t>
      </w:r>
      <w:r>
        <w:rPr>
          <w:rFonts w:hint="eastAsia"/>
          <w:lang w:eastAsia="zh-CN"/>
        </w:rPr>
        <w:t>届毕业生出国/出境留学</w:t>
      </w:r>
      <w:r>
        <w:rPr>
          <w:lang w:eastAsia="zh-CN"/>
        </w:rPr>
        <w:t>率</w:t>
      </w:r>
      <w:r>
        <w:rPr>
          <w:rFonts w:hint="eastAsia"/>
          <w:lang w:eastAsia="zh-CN"/>
        </w:rPr>
        <w:t>（</w:t>
      </w:r>
      <w:r>
        <w:rPr>
          <w:lang w:eastAsia="zh-CN"/>
        </w:rPr>
        <w:t>1.21</w:t>
      </w:r>
      <w:r>
        <w:rPr>
          <w:rFonts w:hint="eastAsia"/>
          <w:lang w:eastAsia="zh-CN"/>
        </w:rPr>
        <w:t>%）高</w:t>
      </w:r>
      <w:r>
        <w:rPr>
          <w:lang w:eastAsia="zh-CN"/>
        </w:rPr>
        <w:t>0.18</w:t>
      </w:r>
      <w:r>
        <w:rPr>
          <w:rFonts w:hint="eastAsia"/>
          <w:lang w:eastAsia="zh-CN"/>
        </w:rPr>
        <w:t>个百分点</w:t>
      </w:r>
      <w:r>
        <w:rPr>
          <w:lang w:eastAsia="zh-CN"/>
        </w:rPr>
        <w:t>。</w:t>
      </w:r>
    </w:p>
    <w:p>
      <w:pPr>
        <w:pBdr>
          <w:top w:val="none" w:color="000000" w:sz="0" w:space="0"/>
          <w:left w:val="none" w:color="000000" w:sz="0" w:space="0"/>
          <w:bottom w:val="none" w:color="000000" w:sz="0" w:space="0"/>
          <w:right w:val="none" w:color="000000" w:sz="0" w:space="0"/>
          <w:between w:val="none" w:color="000000" w:sz="0" w:space="0"/>
        </w:pBdr>
        <w:spacing w:before="163" w:after="163" w:line="360" w:lineRule="auto"/>
        <w:ind w:firstLine="480"/>
        <w:jc w:val="center"/>
        <w:rPr>
          <w:rFonts w:eastAsia="Calibri"/>
          <w:color w:val="auto"/>
          <w:sz w:val="24"/>
          <w:lang w:eastAsia="zh-CN"/>
        </w:rPr>
      </w:pPr>
      <w:r>
        <w:rPr>
          <w:rFonts w:ascii="Calibri" w:hAnsi="Calibri" w:eastAsia="Calibri" w:cs="宋体"/>
          <w:sz w:val="24"/>
          <w:lang w:eastAsia="zh-CN"/>
        </w:rPr>
        <w:drawing>
          <wp:inline distT="0" distB="0" distL="0" distR="0">
            <wp:extent cx="5086350" cy="1962150"/>
            <wp:effectExtent l="0" t="0" r="6350" b="6350"/>
            <wp:docPr id="934" name="图表 9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114" w:name="_Toc129867413"/>
      <w:r>
        <w:rPr>
          <w:rFonts w:hint="eastAsia" w:eastAsia="黑体"/>
          <w:b/>
          <w:sz w:val="21"/>
          <w:lang w:eastAsia="zh-CN"/>
        </w:rPr>
        <w:t>图3.</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38</w:t>
      </w:r>
      <w:r>
        <w:rPr>
          <w:rFonts w:eastAsia="黑体"/>
          <w:b/>
          <w:sz w:val="21"/>
          <w:lang w:eastAsia="zh-CN"/>
        </w:rPr>
        <w:fldChar w:fldCharType="end"/>
      </w:r>
      <w:r>
        <w:rPr>
          <w:rFonts w:eastAsia="黑体"/>
          <w:b/>
          <w:sz w:val="21"/>
          <w:lang w:eastAsia="zh-CN"/>
        </w:rPr>
        <w:t xml:space="preserve"> </w:t>
      </w:r>
      <w:r>
        <w:rPr>
          <w:rFonts w:hint="eastAsia" w:eastAsia="黑体"/>
          <w:b/>
          <w:sz w:val="21"/>
          <w:lang w:eastAsia="zh-CN"/>
        </w:rPr>
        <w:t xml:space="preserve"> </w:t>
      </w:r>
      <w:r>
        <w:rPr>
          <w:rFonts w:eastAsia="黑体"/>
          <w:b/>
          <w:sz w:val="21"/>
          <w:lang w:eastAsia="zh-CN"/>
        </w:rPr>
        <w:t>2022届</w:t>
      </w:r>
      <w:r>
        <w:rPr>
          <w:rFonts w:hint="eastAsia" w:eastAsia="黑体"/>
          <w:b/>
          <w:sz w:val="21"/>
          <w:lang w:eastAsia="zh-CN"/>
        </w:rPr>
        <w:t>毕业生出国/出境</w:t>
      </w:r>
      <w:r>
        <w:rPr>
          <w:rFonts w:hint="eastAsia" w:eastAsia="黑体"/>
          <w:b/>
          <w:bCs/>
          <w:sz w:val="21"/>
          <w:lang w:eastAsia="zh-CN"/>
        </w:rPr>
        <w:t>升学率</w:t>
      </w:r>
      <w:r>
        <w:rPr>
          <w:rFonts w:eastAsia="黑体"/>
          <w:b/>
          <w:sz w:val="21"/>
          <w:lang w:eastAsia="zh-CN"/>
        </w:rPr>
        <w:t>对比分析</w:t>
      </w:r>
      <w:bookmarkEnd w:id="114"/>
      <w:r>
        <w:rPr>
          <w:rFonts w:hint="eastAsia" w:eastAsia="黑体"/>
          <w:b/>
          <w:sz w:val="21"/>
          <w:lang w:eastAsia="zh-CN"/>
        </w:rPr>
        <w:t xml:space="preserve"> </w:t>
      </w:r>
    </w:p>
    <w:p>
      <w:pPr>
        <w:rPr>
          <w:snapToGrid/>
          <w:sz w:val="21"/>
          <w:lang w:eastAsia="zh-CN"/>
        </w:rPr>
      </w:pPr>
      <w:r>
        <w:rPr>
          <w:rFonts w:hint="eastAsia" w:ascii="仿宋" w:hAnsi="仿宋"/>
          <w:sz w:val="21"/>
          <w:lang w:eastAsia="zh-CN"/>
        </w:rPr>
        <w:t>数据来源：北京新锦成教育技术有限公司</w:t>
      </w:r>
    </w:p>
    <w:p>
      <w:pPr>
        <w:pStyle w:val="2"/>
        <w:ind w:firstLine="640"/>
        <w:rPr>
          <w:lang w:eastAsia="zh-CN"/>
        </w:rPr>
      </w:pPr>
      <w:bookmarkStart w:id="115" w:name="_Toc130307098"/>
      <w:bookmarkStart w:id="116" w:name="_Toc126592351"/>
      <w:bookmarkStart w:id="117" w:name="_Toc129680126"/>
      <w:bookmarkStart w:id="118" w:name="_Toc148372429"/>
      <w:bookmarkStart w:id="119" w:name="_Toc151887739"/>
      <w:r>
        <w:rPr>
          <w:rFonts w:hint="eastAsia"/>
          <w:lang w:eastAsia="zh-CN"/>
        </w:rPr>
        <w:t>三</w:t>
      </w:r>
      <w:r>
        <w:rPr>
          <w:lang w:eastAsia="zh-CN"/>
        </w:rPr>
        <w:t>、</w:t>
      </w:r>
      <w:r>
        <w:rPr>
          <w:rFonts w:hint="eastAsia"/>
          <w:lang w:eastAsia="zh-CN"/>
        </w:rPr>
        <w:t>创业基本情况</w:t>
      </w:r>
      <w:bookmarkEnd w:id="115"/>
      <w:bookmarkEnd w:id="116"/>
      <w:bookmarkEnd w:id="117"/>
      <w:bookmarkEnd w:id="118"/>
      <w:bookmarkEnd w:id="119"/>
    </w:p>
    <w:p>
      <w:pPr>
        <w:ind w:firstLine="640"/>
        <w:rPr>
          <w:lang w:eastAsia="zh-CN"/>
        </w:rPr>
      </w:pPr>
      <w:r>
        <w:rPr>
          <w:rFonts w:hint="eastAsia"/>
          <w:lang w:eastAsia="zh-CN"/>
        </w:rPr>
        <w:t>创业率：</w:t>
      </w:r>
      <w:r>
        <w:rPr>
          <w:lang w:eastAsia="zh-CN"/>
        </w:rPr>
        <w:t>调查结果显示，本</w:t>
      </w:r>
      <w:r>
        <w:rPr>
          <w:lang w:val="zh-CN" w:eastAsia="zh-CN"/>
        </w:rPr>
        <w:t>校2022</w:t>
      </w:r>
      <w:r>
        <w:rPr>
          <w:rFonts w:hint="eastAsia"/>
          <w:lang w:val="zh-CN" w:eastAsia="zh-CN"/>
        </w:rPr>
        <w:t>届毕业生创业率</w:t>
      </w:r>
      <w:r>
        <w:rPr>
          <w:lang w:val="zh-CN" w:eastAsia="zh-CN"/>
        </w:rPr>
        <w:t>为</w:t>
      </w:r>
      <w:r>
        <w:rPr>
          <w:rFonts w:hint="eastAsia"/>
          <w:lang w:val="zh-CN" w:eastAsia="zh-CN"/>
        </w:rPr>
        <w:t>2.78%，比全国高校</w:t>
      </w:r>
      <w:r>
        <w:rPr>
          <w:lang w:val="zh-CN" w:eastAsia="zh-CN"/>
        </w:rPr>
        <w:t>2022</w:t>
      </w:r>
      <w:r>
        <w:rPr>
          <w:rFonts w:hint="eastAsia"/>
          <w:lang w:val="zh-CN" w:eastAsia="zh-CN"/>
        </w:rPr>
        <w:t>届毕业生创业率（</w:t>
      </w:r>
      <w:r>
        <w:rPr>
          <w:lang w:val="zh-CN" w:eastAsia="zh-CN"/>
        </w:rPr>
        <w:t>1.24</w:t>
      </w:r>
      <w:r>
        <w:rPr>
          <w:rFonts w:hint="eastAsia"/>
          <w:lang w:val="zh-CN" w:eastAsia="zh-CN"/>
        </w:rPr>
        <w:t>%）高</w:t>
      </w:r>
      <w:r>
        <w:rPr>
          <w:lang w:val="zh-CN" w:eastAsia="zh-CN"/>
        </w:rPr>
        <w:t>1.54</w:t>
      </w:r>
      <w:r>
        <w:rPr>
          <w:rFonts w:hint="eastAsia"/>
          <w:lang w:eastAsia="zh-CN"/>
        </w:rPr>
        <w:t>个百分点</w:t>
      </w:r>
      <w:r>
        <w:rPr>
          <w:lang w:eastAsia="zh-CN"/>
        </w:rPr>
        <w:t>。</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4"/>
          <w:szCs w:val="24"/>
          <w:lang w:eastAsia="zh-CN"/>
        </w:rPr>
      </w:pPr>
      <w:r>
        <w:rPr>
          <w:rFonts w:eastAsia="宋体"/>
          <w:snapToGrid/>
          <w:sz w:val="24"/>
          <w:lang w:eastAsia="zh-CN"/>
        </w:rPr>
        <w:drawing>
          <wp:inline distT="0" distB="0" distL="0" distR="0">
            <wp:extent cx="5427980" cy="2552700"/>
            <wp:effectExtent l="0" t="0" r="7620" b="0"/>
            <wp:docPr id="936" name="图表 9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120" w:name="_Toc509389371"/>
      <w:bookmarkStart w:id="121" w:name="_Toc129867419"/>
      <w:bookmarkStart w:id="122" w:name="_Toc509483492"/>
      <w:r>
        <w:rPr>
          <w:rFonts w:hint="eastAsia" w:eastAsia="黑体"/>
          <w:b/>
          <w:sz w:val="21"/>
          <w:lang w:eastAsia="zh-CN"/>
        </w:rPr>
        <w:t xml:space="preserve">图3. </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图1-2-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39</w:t>
      </w:r>
      <w:r>
        <w:rPr>
          <w:rFonts w:eastAsia="黑体"/>
          <w:b/>
          <w:sz w:val="21"/>
          <w:lang w:eastAsia="zh-CN"/>
        </w:rPr>
        <w:fldChar w:fldCharType="end"/>
      </w:r>
      <w:r>
        <w:rPr>
          <w:rFonts w:eastAsia="黑体"/>
          <w:b/>
          <w:sz w:val="21"/>
          <w:lang w:eastAsia="zh-CN"/>
        </w:rPr>
        <w:t xml:space="preserve"> </w:t>
      </w:r>
      <w:r>
        <w:rPr>
          <w:rFonts w:hint="eastAsia" w:eastAsia="黑体"/>
          <w:b/>
          <w:sz w:val="21"/>
          <w:lang w:eastAsia="zh-CN"/>
        </w:rPr>
        <w:t xml:space="preserve"> </w:t>
      </w:r>
      <w:r>
        <w:rPr>
          <w:rFonts w:eastAsia="黑体"/>
          <w:b/>
          <w:sz w:val="21"/>
          <w:lang w:eastAsia="zh-CN"/>
        </w:rPr>
        <w:t>2022届</w:t>
      </w:r>
      <w:r>
        <w:rPr>
          <w:rFonts w:hint="eastAsia" w:eastAsia="黑体"/>
          <w:b/>
          <w:sz w:val="21"/>
          <w:lang w:eastAsia="zh-CN"/>
        </w:rPr>
        <w:t>毕业生创业率</w:t>
      </w:r>
      <w:r>
        <w:rPr>
          <w:rFonts w:eastAsia="黑体"/>
          <w:b/>
          <w:sz w:val="21"/>
          <w:lang w:eastAsia="zh-CN"/>
        </w:rPr>
        <w:t>对比分析</w:t>
      </w:r>
      <w:bookmarkEnd w:id="120"/>
      <w:bookmarkEnd w:id="121"/>
      <w:bookmarkEnd w:id="122"/>
      <w:r>
        <w:rPr>
          <w:rFonts w:hint="eastAsia" w:eastAsia="黑体"/>
          <w:b/>
          <w:sz w:val="21"/>
          <w:lang w:eastAsia="zh-CN"/>
        </w:rPr>
        <w:t xml:space="preserve"> </w:t>
      </w:r>
    </w:p>
    <w:p>
      <w:pPr>
        <w:rPr>
          <w:snapToGrid/>
          <w:sz w:val="21"/>
          <w:lang w:eastAsia="zh-CN"/>
        </w:rPr>
      </w:pPr>
      <w:r>
        <w:rPr>
          <w:rFonts w:hint="eastAsia" w:ascii="仿宋" w:hAnsi="仿宋"/>
          <w:sz w:val="21"/>
          <w:lang w:eastAsia="zh-CN"/>
        </w:rPr>
        <w:t>数据来源：北京新锦成教育技术有限公司</w:t>
      </w:r>
    </w:p>
    <w:p>
      <w:pPr>
        <w:pStyle w:val="25"/>
        <w:rPr>
          <w:lang w:val="en-US"/>
        </w:rPr>
      </w:pPr>
    </w:p>
    <w:bookmarkEnd w:id="31"/>
    <w:bookmarkEnd w:id="32"/>
    <w:bookmarkEnd w:id="33"/>
    <w:bookmarkEnd w:id="34"/>
    <w:bookmarkEnd w:id="35"/>
    <w:bookmarkEnd w:id="98"/>
    <w:bookmarkEnd w:id="104"/>
    <w:bookmarkEnd w:id="105"/>
    <w:p>
      <w:pPr>
        <w:ind w:firstLine="880"/>
        <w:rPr>
          <w:rFonts w:ascii="宋体" w:hAnsi="宋体" w:eastAsia="宋体" w:cs="宋体"/>
          <w:spacing w:val="10"/>
          <w:sz w:val="43"/>
          <w:szCs w:val="43"/>
          <w:lang w:eastAsia="zh-CN"/>
          <w14:textOutline w14:w="7975" w14:cap="sq" w14:cmpd="sng" w14:algn="ctr">
            <w14:solidFill>
              <w14:srgbClr w14:val="000000"/>
            </w14:solidFill>
            <w14:prstDash w14:val="solid"/>
            <w14:bevel/>
          </w14:textOutline>
        </w:rPr>
      </w:pPr>
      <w:r>
        <w:rPr>
          <w:rFonts w:ascii="宋体" w:hAnsi="宋体" w:eastAsia="宋体" w:cs="宋体"/>
          <w:spacing w:val="10"/>
          <w:sz w:val="43"/>
          <w:szCs w:val="43"/>
          <w:lang w:eastAsia="zh-CN"/>
          <w14:textOutline w14:w="7975" w14:cap="sq" w14:cmpd="sng" w14:algn="ctr">
            <w14:solidFill>
              <w14:srgbClr w14:val="000000"/>
            </w14:solidFill>
            <w14:prstDash w14:val="solid"/>
            <w14:bevel/>
          </w14:textOutline>
        </w:rPr>
        <w:br w:type="page"/>
      </w:r>
    </w:p>
    <w:p>
      <w:pPr>
        <w:ind w:firstLine="0" w:firstLineChars="0"/>
        <w:jc w:val="center"/>
        <w:outlineLvl w:val="0"/>
        <w:rPr>
          <w:rFonts w:ascii="宋体" w:hAnsi="宋体" w:eastAsia="宋体" w:cs="宋体"/>
          <w:spacing w:val="10"/>
          <w:sz w:val="43"/>
          <w:szCs w:val="43"/>
          <w:lang w:eastAsia="zh-CN"/>
          <w14:textOutline w14:w="7975" w14:cap="sq" w14:cmpd="sng" w14:algn="ctr">
            <w14:solidFill>
              <w14:srgbClr w14:val="000000"/>
            </w14:solidFill>
            <w14:prstDash w14:val="solid"/>
            <w14:bevel/>
          </w14:textOutline>
        </w:rPr>
      </w:pPr>
      <w:bookmarkStart w:id="123" w:name="_Toc151887740"/>
      <w:r>
        <w:rPr>
          <w:rFonts w:ascii="宋体" w:hAnsi="宋体" w:eastAsia="宋体" w:cs="宋体"/>
          <w:spacing w:val="10"/>
          <w:sz w:val="43"/>
          <w:szCs w:val="43"/>
          <w:lang w:eastAsia="zh-CN"/>
          <w14:textOutline w14:w="7975" w14:cap="sq" w14:cmpd="sng" w14:algn="ctr">
            <w14:solidFill>
              <w14:srgbClr w14:val="000000"/>
            </w14:solidFill>
            <w14:prstDash w14:val="solid"/>
            <w14:bevel/>
          </w14:textOutline>
        </w:rPr>
        <w:t>第</w:t>
      </w:r>
      <w:r>
        <w:rPr>
          <w:rFonts w:hint="eastAsia" w:ascii="宋体" w:hAnsi="宋体" w:eastAsia="宋体" w:cs="宋体"/>
          <w:spacing w:val="10"/>
          <w:sz w:val="43"/>
          <w:szCs w:val="43"/>
          <w:lang w:eastAsia="zh-CN"/>
          <w14:textOutline w14:w="7975" w14:cap="sq" w14:cmpd="sng" w14:algn="ctr">
            <w14:solidFill>
              <w14:srgbClr w14:val="000000"/>
            </w14:solidFill>
            <w14:prstDash w14:val="solid"/>
            <w14:bevel/>
          </w14:textOutline>
        </w:rPr>
        <w:t>四</w:t>
      </w:r>
      <w:r>
        <w:rPr>
          <w:rFonts w:ascii="宋体" w:hAnsi="宋体" w:eastAsia="宋体" w:cs="宋体"/>
          <w:spacing w:val="10"/>
          <w:sz w:val="43"/>
          <w:szCs w:val="43"/>
          <w:lang w:eastAsia="zh-CN"/>
          <w14:textOutline w14:w="7975" w14:cap="sq" w14:cmpd="sng" w14:algn="ctr">
            <w14:solidFill>
              <w14:srgbClr w14:val="000000"/>
            </w14:solidFill>
            <w14:prstDash w14:val="solid"/>
            <w14:bevel/>
          </w14:textOutline>
        </w:rPr>
        <w:t>部分：</w:t>
      </w:r>
      <w:r>
        <w:rPr>
          <w:rFonts w:hint="eastAsia" w:ascii="宋体" w:hAnsi="宋体" w:eastAsia="宋体" w:cs="宋体"/>
          <w:spacing w:val="10"/>
          <w:sz w:val="43"/>
          <w:szCs w:val="43"/>
          <w:lang w:eastAsia="zh-CN"/>
          <w14:textOutline w14:w="7975" w14:cap="sq" w14:cmpd="sng" w14:algn="ctr">
            <w14:solidFill>
              <w14:srgbClr w14:val="000000"/>
            </w14:solidFill>
            <w14:prstDash w14:val="solid"/>
            <w14:bevel/>
          </w14:textOutline>
        </w:rPr>
        <w:t>专科毕业生就业相关分析</w:t>
      </w:r>
      <w:bookmarkEnd w:id="123"/>
    </w:p>
    <w:p>
      <w:pPr>
        <w:pBdr>
          <w:top w:val="none" w:color="000000" w:sz="0" w:space="0"/>
          <w:left w:val="none" w:color="000000" w:sz="0" w:space="0"/>
          <w:bottom w:val="none" w:color="000000" w:sz="0" w:space="0"/>
          <w:right w:val="none" w:color="000000" w:sz="0" w:space="0"/>
          <w:between w:val="none" w:color="000000" w:sz="0" w:space="0"/>
        </w:pBdr>
        <w:spacing w:before="360" w:after="360" w:line="578" w:lineRule="auto"/>
        <w:ind w:firstLine="643"/>
        <w:jc w:val="center"/>
        <w:outlineLvl w:val="1"/>
        <w:rPr>
          <w:rFonts w:eastAsia="黑体"/>
          <w:b/>
          <w:bCs/>
          <w:szCs w:val="32"/>
          <w:lang w:eastAsia="zh-CN"/>
        </w:rPr>
      </w:pPr>
      <w:bookmarkStart w:id="124" w:name="_Toc130307137"/>
      <w:bookmarkStart w:id="125" w:name="_Toc148372468"/>
      <w:bookmarkStart w:id="126" w:name="_Toc151887741"/>
      <w:r>
        <w:rPr>
          <w:rFonts w:hint="eastAsia" w:eastAsia="黑体"/>
          <w:b/>
          <w:bCs/>
          <w:szCs w:val="32"/>
          <w:lang w:eastAsia="zh-CN"/>
        </w:rPr>
        <w:t xml:space="preserve">第一章 </w:t>
      </w:r>
      <w:r>
        <w:rPr>
          <w:rFonts w:eastAsia="黑体"/>
          <w:b/>
          <w:bCs/>
          <w:szCs w:val="32"/>
          <w:lang w:eastAsia="zh-CN"/>
        </w:rPr>
        <w:t xml:space="preserve"> </w:t>
      </w:r>
      <w:r>
        <w:rPr>
          <w:rFonts w:hint="eastAsia" w:eastAsia="黑体"/>
          <w:b/>
          <w:bCs/>
          <w:szCs w:val="32"/>
          <w:lang w:eastAsia="zh-CN"/>
        </w:rPr>
        <w:t>就业竞争力</w:t>
      </w:r>
      <w:bookmarkEnd w:id="124"/>
      <w:bookmarkEnd w:id="125"/>
      <w:bookmarkEnd w:id="126"/>
    </w:p>
    <w:p>
      <w:pPr>
        <w:pStyle w:val="2"/>
        <w:ind w:firstLine="640"/>
        <w:rPr>
          <w:lang w:eastAsia="zh-CN"/>
        </w:rPr>
      </w:pPr>
      <w:bookmarkStart w:id="127" w:name="_Toc151887742"/>
      <w:bookmarkStart w:id="128" w:name="_Toc130307138"/>
      <w:bookmarkStart w:id="129" w:name="_Toc148372469"/>
      <w:r>
        <w:rPr>
          <w:lang w:eastAsia="zh-CN"/>
        </w:rPr>
        <w:t>一、</w:t>
      </w:r>
      <w:r>
        <w:rPr>
          <w:rFonts w:hint="eastAsia"/>
          <w:lang w:eastAsia="zh-CN"/>
        </w:rPr>
        <w:t>毕业去向落实率</w:t>
      </w:r>
      <w:bookmarkEnd w:id="127"/>
      <w:bookmarkEnd w:id="128"/>
      <w:bookmarkEnd w:id="129"/>
    </w:p>
    <w:p>
      <w:pPr>
        <w:ind w:firstLine="640"/>
        <w:rPr>
          <w:lang w:val="zh-CN" w:eastAsia="zh-CN"/>
        </w:rPr>
      </w:pPr>
      <w:r>
        <w:rPr>
          <w:rFonts w:hint="eastAsia"/>
          <w:lang w:val="zh-CN" w:eastAsia="zh-CN"/>
        </w:rPr>
        <w:t>本校2022届专科毕业生最终毕业去向落实率</w:t>
      </w:r>
      <w:r>
        <w:rPr>
          <w:lang w:val="zh-CN" w:eastAsia="zh-CN"/>
        </w:rPr>
        <w:t>为</w:t>
      </w:r>
      <w:r>
        <w:rPr>
          <w:rFonts w:hint="eastAsia"/>
          <w:lang w:val="zh-CN" w:eastAsia="zh-CN"/>
        </w:rPr>
        <w:t>94.73%，比</w:t>
      </w:r>
      <w:r>
        <w:rPr>
          <w:lang w:val="zh-CN" w:eastAsia="zh-CN"/>
        </w:rPr>
        <w:t>全国高校2022届毕业生</w:t>
      </w:r>
      <w:r>
        <w:rPr>
          <w:rFonts w:hint="eastAsia"/>
          <w:lang w:val="zh-CN" w:eastAsia="zh-CN"/>
        </w:rPr>
        <w:t>的毕业去向落实率（</w:t>
      </w:r>
      <w:r>
        <w:rPr>
          <w:lang w:val="zh-CN" w:eastAsia="zh-CN"/>
        </w:rPr>
        <w:t>86.19</w:t>
      </w:r>
      <w:r>
        <w:rPr>
          <w:rFonts w:hint="eastAsia"/>
          <w:lang w:val="zh-CN" w:eastAsia="zh-CN"/>
        </w:rPr>
        <w:t>%</w:t>
      </w:r>
      <w:r>
        <w:rPr>
          <w:lang w:val="zh-CN" w:eastAsia="zh-CN"/>
        </w:rPr>
        <w:t>）</w:t>
      </w:r>
      <w:r>
        <w:rPr>
          <w:rFonts w:hint="eastAsia"/>
          <w:lang w:val="zh-CN" w:eastAsia="zh-CN"/>
        </w:rPr>
        <w:t>高8.54个百分点，相比2021年有所下滑。</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4"/>
          <w:szCs w:val="24"/>
          <w:lang w:eastAsia="zh-CN"/>
        </w:rPr>
      </w:pPr>
      <w:r>
        <w:rPr>
          <w:rFonts w:eastAsia="宋体"/>
          <w:snapToGrid/>
          <w:color w:val="2588A4"/>
          <w:sz w:val="24"/>
          <w:lang w:eastAsia="zh-CN"/>
        </w:rPr>
        <w:drawing>
          <wp:inline distT="0" distB="0" distL="0" distR="0">
            <wp:extent cx="5362575" cy="2447925"/>
            <wp:effectExtent l="0" t="0" r="0" b="0"/>
            <wp:docPr id="516" name="图表 9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pPr>
        <w:pBdr>
          <w:top w:val="none" w:color="000000" w:sz="0" w:space="0"/>
          <w:left w:val="none" w:color="000000" w:sz="0" w:space="0"/>
          <w:bottom w:val="none" w:color="000000" w:sz="0" w:space="0"/>
          <w:right w:val="none" w:color="000000" w:sz="0" w:space="0"/>
          <w:between w:val="none" w:color="000000" w:sz="0" w:space="0"/>
        </w:pBdr>
        <w:ind w:firstLine="422"/>
        <w:jc w:val="center"/>
        <w:rPr>
          <w:rFonts w:eastAsia="黑体"/>
          <w:b/>
          <w:bCs/>
          <w:sz w:val="21"/>
          <w:szCs w:val="20"/>
          <w:lang w:eastAsia="zh-CN"/>
        </w:rPr>
      </w:pPr>
      <w:r>
        <w:rPr>
          <w:rFonts w:hint="eastAsia" w:eastAsia="黑体"/>
          <w:b/>
          <w:bCs/>
          <w:sz w:val="21"/>
          <w:szCs w:val="20"/>
          <w:lang w:eastAsia="zh-CN"/>
        </w:rPr>
        <w:t>图4.</w:t>
      </w:r>
      <w:r>
        <w:rPr>
          <w:rFonts w:eastAsia="黑体"/>
          <w:b/>
          <w:bCs/>
          <w:sz w:val="21"/>
          <w:szCs w:val="20"/>
          <w:lang w:eastAsia="zh-CN"/>
        </w:rPr>
        <w:fldChar w:fldCharType="begin"/>
      </w:r>
      <w:r>
        <w:rPr>
          <w:rFonts w:eastAsia="黑体"/>
          <w:b/>
          <w:bCs/>
          <w:sz w:val="21"/>
          <w:szCs w:val="20"/>
          <w:lang w:eastAsia="zh-CN"/>
        </w:rPr>
        <w:instrText xml:space="preserve"> </w:instrText>
      </w:r>
      <w:r>
        <w:rPr>
          <w:rFonts w:hint="eastAsia" w:eastAsia="黑体"/>
          <w:b/>
          <w:bCs/>
          <w:sz w:val="21"/>
          <w:szCs w:val="20"/>
          <w:lang w:eastAsia="zh-CN"/>
        </w:rPr>
        <w:instrText xml:space="preserve">SEQ 图2-2- \* ARABIC</w:instrText>
      </w:r>
      <w:r>
        <w:rPr>
          <w:rFonts w:eastAsia="黑体"/>
          <w:b/>
          <w:bCs/>
          <w:sz w:val="21"/>
          <w:szCs w:val="20"/>
          <w:lang w:eastAsia="zh-CN"/>
        </w:rPr>
        <w:instrText xml:space="preserve"> </w:instrText>
      </w:r>
      <w:r>
        <w:rPr>
          <w:rFonts w:eastAsia="黑体"/>
          <w:b/>
          <w:bCs/>
          <w:sz w:val="21"/>
          <w:szCs w:val="20"/>
          <w:lang w:eastAsia="zh-CN"/>
        </w:rPr>
        <w:fldChar w:fldCharType="separate"/>
      </w:r>
      <w:r>
        <w:rPr>
          <w:rFonts w:eastAsia="黑体"/>
          <w:b/>
          <w:bCs/>
          <w:sz w:val="21"/>
          <w:szCs w:val="20"/>
          <w:lang w:eastAsia="zh-CN"/>
        </w:rPr>
        <w:t>1</w:t>
      </w:r>
      <w:r>
        <w:rPr>
          <w:rFonts w:eastAsia="黑体"/>
          <w:b/>
          <w:bCs/>
          <w:sz w:val="21"/>
          <w:szCs w:val="20"/>
          <w:lang w:eastAsia="zh-CN"/>
        </w:rPr>
        <w:fldChar w:fldCharType="end"/>
      </w:r>
      <w:r>
        <w:rPr>
          <w:rFonts w:eastAsia="黑体"/>
          <w:b/>
          <w:bCs/>
          <w:sz w:val="21"/>
          <w:szCs w:val="20"/>
          <w:lang w:eastAsia="zh-CN"/>
        </w:rPr>
        <w:t xml:space="preserve">  2020-2022届</w:t>
      </w:r>
      <w:r>
        <w:rPr>
          <w:rFonts w:hint="eastAsia" w:eastAsia="黑体"/>
          <w:b/>
          <w:bCs/>
          <w:sz w:val="21"/>
          <w:szCs w:val="20"/>
          <w:lang w:eastAsia="zh-CN"/>
        </w:rPr>
        <w:t>毕业生毕业去向落实率对比分析</w:t>
      </w:r>
    </w:p>
    <w:p>
      <w:pPr>
        <w:rPr>
          <w:snapToGrid/>
          <w:sz w:val="21"/>
          <w:lang w:eastAsia="zh-CN"/>
        </w:rPr>
      </w:pPr>
      <w:r>
        <w:rPr>
          <w:rFonts w:hint="eastAsia" w:ascii="仿宋" w:hAnsi="仿宋"/>
          <w:sz w:val="21"/>
          <w:lang w:eastAsia="zh-CN"/>
        </w:rPr>
        <w:t>数据来源：北京新锦成教育技术有限公司</w:t>
      </w:r>
    </w:p>
    <w:p>
      <w:pPr>
        <w:pStyle w:val="3"/>
        <w:ind w:firstLine="643"/>
        <w:rPr>
          <w:lang w:val="zh-CN" w:eastAsia="zh-CN"/>
        </w:rPr>
      </w:pPr>
      <w:bookmarkStart w:id="130" w:name="_Toc151887743"/>
      <w:r>
        <w:rPr>
          <w:rFonts w:hint="eastAsia"/>
          <w:lang w:val="zh-CN" w:eastAsia="zh-CN"/>
        </w:rPr>
        <w:t>（一）</w:t>
      </w:r>
      <w:r>
        <w:rPr>
          <w:lang w:val="zh-CN" w:eastAsia="zh-CN"/>
        </w:rPr>
        <w:t>各</w:t>
      </w:r>
      <w:r>
        <w:rPr>
          <w:rFonts w:hint="eastAsia"/>
          <w:lang w:val="zh-CN" w:eastAsia="zh-CN"/>
        </w:rPr>
        <w:t>学院</w:t>
      </w:r>
      <w:r>
        <w:rPr>
          <w:lang w:val="zh-CN" w:eastAsia="zh-CN"/>
        </w:rPr>
        <w:t>毕业去向落实率</w:t>
      </w:r>
      <w:bookmarkEnd w:id="130"/>
    </w:p>
    <w:p>
      <w:pPr>
        <w:ind w:firstLine="640"/>
        <w:rPr>
          <w:lang w:val="zh-CN" w:eastAsia="zh-CN"/>
        </w:rPr>
      </w:pPr>
      <w:r>
        <w:rPr>
          <w:rFonts w:hint="eastAsia"/>
          <w:lang w:val="zh-CN" w:eastAsia="zh-CN"/>
        </w:rPr>
        <w:t>各学院</w:t>
      </w:r>
      <w:r>
        <w:rPr>
          <w:lang w:val="zh-CN" w:eastAsia="zh-CN"/>
        </w:rPr>
        <w:t>调查毕业去向落实率</w:t>
      </w:r>
      <w:r>
        <w:rPr>
          <w:rFonts w:hint="eastAsia"/>
          <w:lang w:val="zh-CN" w:eastAsia="zh-CN"/>
        </w:rPr>
        <w:t>及最终毕业去向落实率对比情况如下</w:t>
      </w:r>
      <w:r>
        <w:rPr>
          <w:lang w:val="zh-CN" w:eastAsia="zh-CN"/>
        </w:rPr>
        <w:t xml:space="preserve">： </w:t>
      </w:r>
    </w:p>
    <w:p>
      <w:pPr>
        <w:pBdr>
          <w:top w:val="none" w:color="000000" w:sz="0" w:space="0"/>
          <w:left w:val="none" w:color="000000" w:sz="0" w:space="0"/>
          <w:bottom w:val="none" w:color="000000" w:sz="0" w:space="0"/>
          <w:right w:val="none" w:color="000000" w:sz="0" w:space="0"/>
          <w:between w:val="none" w:color="000000" w:sz="0" w:space="0"/>
        </w:pBdr>
        <w:spacing w:line="360" w:lineRule="auto"/>
        <w:ind w:firstLine="480"/>
        <w:jc w:val="center"/>
        <w:rPr>
          <w:rFonts w:eastAsia="Calibri" w:cs="宋体"/>
          <w:bCs/>
          <w:sz w:val="24"/>
          <w:lang w:eastAsia="zh-CN"/>
        </w:rPr>
      </w:pPr>
      <w:r>
        <w:rPr>
          <w:rFonts w:eastAsia="Calibri" w:cs="宋体"/>
          <w:color w:val="10CF9B"/>
          <w:sz w:val="24"/>
          <w:lang w:eastAsia="zh-CN"/>
        </w:rPr>
        <w:drawing>
          <wp:inline distT="0" distB="0" distL="0" distR="0">
            <wp:extent cx="5405755" cy="5681345"/>
            <wp:effectExtent l="0" t="0" r="4445" b="0"/>
            <wp:docPr id="517" name="图表 98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宋体"/>
          <w:b/>
          <w:sz w:val="24"/>
          <w:szCs w:val="24"/>
          <w:lang w:eastAsia="zh-CN"/>
        </w:rPr>
      </w:pPr>
      <w:bookmarkStart w:id="131" w:name="_Toc129867488"/>
      <w:r>
        <w:rPr>
          <w:rFonts w:hint="eastAsia" w:eastAsia="黑体"/>
          <w:b/>
          <w:sz w:val="21"/>
          <w:lang w:eastAsia="zh-CN"/>
        </w:rPr>
        <w:t>图4.</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图2-2-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2</w:t>
      </w:r>
      <w:r>
        <w:rPr>
          <w:rFonts w:eastAsia="黑体"/>
          <w:b/>
          <w:sz w:val="21"/>
          <w:lang w:eastAsia="zh-CN"/>
        </w:rPr>
        <w:fldChar w:fldCharType="end"/>
      </w:r>
      <w:r>
        <w:rPr>
          <w:rFonts w:eastAsia="黑体"/>
          <w:b/>
          <w:sz w:val="21"/>
          <w:lang w:eastAsia="zh-CN"/>
        </w:rPr>
        <w:t xml:space="preserve">  </w:t>
      </w:r>
      <w:r>
        <w:rPr>
          <w:rFonts w:hint="eastAsia" w:eastAsia="宋体"/>
          <w:b/>
          <w:sz w:val="24"/>
          <w:szCs w:val="24"/>
          <w:lang w:eastAsia="zh-CN"/>
        </w:rPr>
        <w:t>各学院</w:t>
      </w:r>
      <w:r>
        <w:rPr>
          <w:rFonts w:eastAsia="宋体"/>
          <w:b/>
          <w:sz w:val="24"/>
          <w:szCs w:val="24"/>
          <w:lang w:eastAsia="zh-CN"/>
        </w:rPr>
        <w:t>2022届</w:t>
      </w:r>
      <w:r>
        <w:rPr>
          <w:rFonts w:hint="eastAsia" w:eastAsia="宋体"/>
          <w:b/>
          <w:sz w:val="24"/>
          <w:szCs w:val="24"/>
          <w:lang w:eastAsia="zh-CN"/>
        </w:rPr>
        <w:t>毕业生</w:t>
      </w:r>
      <w:r>
        <w:rPr>
          <w:rFonts w:eastAsia="宋体"/>
          <w:b/>
          <w:sz w:val="24"/>
          <w:szCs w:val="24"/>
          <w:lang w:eastAsia="zh-CN"/>
        </w:rPr>
        <w:t>的调查毕业去向落实率分布</w:t>
      </w:r>
      <w:bookmarkEnd w:id="131"/>
    </w:p>
    <w:p>
      <w:pPr>
        <w:rPr>
          <w:snapToGrid/>
          <w:sz w:val="21"/>
          <w:lang w:eastAsia="zh-CN"/>
        </w:rPr>
      </w:pPr>
      <w:r>
        <w:rPr>
          <w:rFonts w:hint="eastAsia" w:ascii="仿宋" w:hAnsi="仿宋"/>
          <w:sz w:val="21"/>
          <w:lang w:eastAsia="zh-CN"/>
        </w:rPr>
        <w:t>数据来源：北京新锦成教育技术有限公司</w:t>
      </w:r>
    </w:p>
    <w:p>
      <w:pPr>
        <w:pStyle w:val="3"/>
        <w:ind w:firstLine="643"/>
        <w:rPr>
          <w:lang w:val="zh-CN" w:eastAsia="zh-CN"/>
        </w:rPr>
      </w:pPr>
      <w:bookmarkStart w:id="132" w:name="_Toc151887744"/>
      <w:r>
        <w:rPr>
          <w:rFonts w:hint="eastAsia"/>
          <w:lang w:val="zh-CN" w:eastAsia="zh-CN"/>
        </w:rPr>
        <w:t>（二）</w:t>
      </w:r>
      <w:r>
        <w:rPr>
          <w:lang w:val="zh-CN" w:eastAsia="zh-CN"/>
        </w:rPr>
        <w:t>各</w:t>
      </w:r>
      <w:r>
        <w:rPr>
          <w:rFonts w:hint="eastAsia"/>
          <w:lang w:val="zh-CN" w:eastAsia="zh-CN"/>
        </w:rPr>
        <w:t>专业</w:t>
      </w:r>
      <w:r>
        <w:rPr>
          <w:lang w:val="zh-CN" w:eastAsia="zh-CN"/>
        </w:rPr>
        <w:t>毕业去向落实率</w:t>
      </w:r>
      <w:bookmarkEnd w:id="132"/>
    </w:p>
    <w:p>
      <w:pPr>
        <w:ind w:firstLine="640"/>
        <w:rPr>
          <w:lang w:val="zh-CN" w:eastAsia="zh-CN"/>
        </w:rPr>
      </w:pPr>
      <w:r>
        <w:rPr>
          <w:rFonts w:hint="eastAsia"/>
          <w:lang w:val="zh-CN" w:eastAsia="zh-CN"/>
        </w:rPr>
        <w:t>各</w:t>
      </w:r>
      <w:r>
        <w:rPr>
          <w:lang w:val="zh-CN" w:eastAsia="zh-CN"/>
        </w:rPr>
        <w:t>专业调查毕业去向落实率</w:t>
      </w:r>
      <w:r>
        <w:rPr>
          <w:rFonts w:hint="eastAsia"/>
          <w:lang w:val="zh-CN" w:eastAsia="zh-CN"/>
        </w:rPr>
        <w:t>及最终毕业去向落实率对比情况如下</w:t>
      </w:r>
      <w:r>
        <w:rPr>
          <w:lang w:val="zh-CN" w:eastAsia="zh-CN"/>
        </w:rPr>
        <w:t xml:space="preserve">： </w:t>
      </w:r>
    </w:p>
    <w:p>
      <w:pPr>
        <w:pBdr>
          <w:top w:val="none" w:color="000000" w:sz="0" w:space="0"/>
          <w:left w:val="none" w:color="000000" w:sz="0" w:space="0"/>
          <w:bottom w:val="none" w:color="000000" w:sz="0" w:space="0"/>
          <w:right w:val="none" w:color="000000" w:sz="0" w:space="0"/>
          <w:between w:val="none" w:color="000000" w:sz="0" w:space="0"/>
        </w:pBdr>
        <w:ind w:firstLine="422"/>
        <w:jc w:val="center"/>
        <w:rPr>
          <w:rFonts w:eastAsia="黑体"/>
          <w:sz w:val="21"/>
          <w:szCs w:val="20"/>
          <w:lang w:eastAsia="zh-CN"/>
        </w:rPr>
      </w:pPr>
      <w:r>
        <w:rPr>
          <w:rFonts w:hint="eastAsia" w:eastAsia="黑体"/>
          <w:b/>
          <w:bCs/>
          <w:sz w:val="21"/>
          <w:szCs w:val="20"/>
          <w:lang w:eastAsia="zh-CN"/>
        </w:rPr>
        <w:t>表4.</w:t>
      </w:r>
      <w:r>
        <w:rPr>
          <w:rFonts w:eastAsia="黑体"/>
          <w:b/>
          <w:bCs/>
          <w:sz w:val="21"/>
          <w:szCs w:val="20"/>
          <w:lang w:eastAsia="zh-CN"/>
        </w:rPr>
        <w:fldChar w:fldCharType="begin"/>
      </w:r>
      <w:r>
        <w:rPr>
          <w:rFonts w:eastAsia="黑体"/>
          <w:b/>
          <w:bCs/>
          <w:sz w:val="21"/>
          <w:szCs w:val="20"/>
          <w:lang w:eastAsia="zh-CN"/>
        </w:rPr>
        <w:instrText xml:space="preserve"> </w:instrText>
      </w:r>
      <w:r>
        <w:rPr>
          <w:rFonts w:hint="eastAsia" w:eastAsia="黑体"/>
          <w:b/>
          <w:bCs/>
          <w:sz w:val="21"/>
          <w:szCs w:val="20"/>
          <w:lang w:eastAsia="zh-CN"/>
        </w:rPr>
        <w:instrText xml:space="preserve">SEQ 表2-2- \* ARABIC</w:instrText>
      </w:r>
      <w:r>
        <w:rPr>
          <w:rFonts w:eastAsia="黑体"/>
          <w:b/>
          <w:bCs/>
          <w:sz w:val="21"/>
          <w:szCs w:val="20"/>
          <w:lang w:eastAsia="zh-CN"/>
        </w:rPr>
        <w:instrText xml:space="preserve"> </w:instrText>
      </w:r>
      <w:r>
        <w:rPr>
          <w:rFonts w:eastAsia="黑体"/>
          <w:b/>
          <w:bCs/>
          <w:sz w:val="21"/>
          <w:szCs w:val="20"/>
          <w:lang w:eastAsia="zh-CN"/>
        </w:rPr>
        <w:fldChar w:fldCharType="separate"/>
      </w:r>
      <w:r>
        <w:rPr>
          <w:rFonts w:eastAsia="黑体"/>
          <w:b/>
          <w:bCs/>
          <w:sz w:val="21"/>
          <w:szCs w:val="20"/>
          <w:lang w:eastAsia="zh-CN"/>
        </w:rPr>
        <w:t>1</w:t>
      </w:r>
      <w:r>
        <w:rPr>
          <w:rFonts w:eastAsia="黑体"/>
          <w:b/>
          <w:bCs/>
          <w:sz w:val="21"/>
          <w:szCs w:val="20"/>
          <w:lang w:eastAsia="zh-CN"/>
        </w:rPr>
        <w:fldChar w:fldCharType="end"/>
      </w:r>
      <w:r>
        <w:rPr>
          <w:rFonts w:eastAsia="黑体"/>
          <w:b/>
          <w:bCs/>
          <w:sz w:val="21"/>
          <w:szCs w:val="20"/>
          <w:lang w:eastAsia="zh-CN"/>
        </w:rPr>
        <w:t xml:space="preserve"> </w:t>
      </w:r>
      <w:r>
        <w:rPr>
          <w:rFonts w:eastAsia="黑体"/>
          <w:sz w:val="21"/>
          <w:szCs w:val="20"/>
          <w:lang w:eastAsia="zh-CN"/>
        </w:rPr>
        <w:t xml:space="preserve"> </w:t>
      </w:r>
      <w:r>
        <w:rPr>
          <w:rFonts w:eastAsia="宋体"/>
          <w:b/>
          <w:bCs/>
          <w:sz w:val="24"/>
          <w:szCs w:val="24"/>
          <w:lang w:eastAsia="zh-CN"/>
        </w:rPr>
        <w:t>各专业2022届</w:t>
      </w:r>
      <w:r>
        <w:rPr>
          <w:rFonts w:hint="eastAsia" w:eastAsia="宋体"/>
          <w:b/>
          <w:bCs/>
          <w:sz w:val="24"/>
          <w:szCs w:val="24"/>
          <w:lang w:eastAsia="zh-CN"/>
        </w:rPr>
        <w:t>毕业生</w:t>
      </w:r>
      <w:r>
        <w:rPr>
          <w:rFonts w:eastAsia="宋体"/>
          <w:b/>
          <w:bCs/>
          <w:sz w:val="24"/>
          <w:szCs w:val="24"/>
          <w:lang w:eastAsia="zh-CN"/>
        </w:rPr>
        <w:t>的调查毕业去向落实率</w:t>
      </w:r>
      <w:r>
        <w:rPr>
          <w:rFonts w:hint="eastAsia" w:eastAsia="宋体"/>
          <w:b/>
          <w:bCs/>
          <w:sz w:val="24"/>
          <w:szCs w:val="24"/>
          <w:lang w:eastAsia="zh-CN"/>
        </w:rPr>
        <w:t>分布</w:t>
      </w:r>
    </w:p>
    <w:tbl>
      <w:tblPr>
        <w:tblStyle w:val="30"/>
        <w:tblW w:w="5000" w:type="pct"/>
        <w:jc w:val="cente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4267"/>
        <w:gridCol w:w="2847"/>
        <w:gridCol w:w="2848"/>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jc w:val="center"/>
        </w:trPr>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color w:val="CCE8CF"/>
                <w:sz w:val="21"/>
                <w:lang w:eastAsia="zh-CN"/>
              </w:rPr>
            </w:pPr>
            <w:r>
              <w:rPr>
                <w:rFonts w:hint="eastAsia" w:ascii="宋体" w:hAnsi="宋体" w:eastAsia="宋体" w:cs="宋体"/>
                <w:b/>
                <w:bCs/>
                <w:snapToGrid/>
                <w:color w:val="CCE8CF"/>
                <w:sz w:val="21"/>
                <w:lang w:eastAsia="zh-CN"/>
              </w:rPr>
              <w:t>专业</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color w:val="CCE8CF"/>
                <w:sz w:val="21"/>
                <w:lang w:eastAsia="zh-CN"/>
              </w:rPr>
            </w:pPr>
            <w:r>
              <w:rPr>
                <w:rFonts w:hint="eastAsia" w:ascii="宋体" w:hAnsi="宋体" w:eastAsia="宋体" w:cs="宋体"/>
                <w:b/>
                <w:bCs/>
                <w:snapToGrid/>
                <w:color w:val="CCE8CF"/>
                <w:sz w:val="21"/>
                <w:lang w:eastAsia="zh-CN"/>
              </w:rPr>
              <w:t>调查毕业去向落实率</w:t>
            </w:r>
          </w:p>
        </w:tc>
        <w:tc>
          <w:tcPr>
            <w:tcW w:w="0" w:type="auto"/>
            <w:shd w:val="clear" w:color="auto" w:fill="5E98D8"/>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b w:val="0"/>
                <w:bCs w:val="0"/>
                <w:snapToGrid/>
                <w:color w:val="CCE8CF"/>
                <w:sz w:val="21"/>
                <w:lang w:eastAsia="zh-CN"/>
              </w:rPr>
            </w:pPr>
            <w:r>
              <w:rPr>
                <w:rFonts w:hint="eastAsia" w:ascii="宋体" w:hAnsi="宋体" w:eastAsia="宋体" w:cs="宋体"/>
                <w:b/>
                <w:bCs/>
                <w:snapToGrid/>
                <w:color w:val="CCE8CF"/>
                <w:sz w:val="21"/>
                <w:lang w:eastAsia="zh-CN"/>
              </w:rPr>
              <w:t>最终毕业去向落实率</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中药学</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92.94%</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智能控制技术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92.86%</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音乐表演</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85.71%</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艺术设计</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87.50%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药品生产技术</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95.83%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新能源汽车技术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86.67%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体育运营与管理</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*75.00%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水路运输与海事管理</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100.00%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市场营销</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84.21%</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食品营养与检测</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100.00%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石油化工技术</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100.00%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烹调工艺与营养</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86.67%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旅游管理</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80.00%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轮机工程技术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70.00%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口腔医学技术</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91.33%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建筑装饰工程技术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60.00%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机械设计与制造（中高职转段）</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81.82%</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机械设计与制造</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61.54%</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机电一体化技术（中高职转段）</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61.54%</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机电一体化技术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80.00%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环境艺术设计</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93.75%</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航海技术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70.27%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国际邮轮乘务管理</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80.00%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工业机器人技术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80.00%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风景园林设计</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80.00%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电子商务</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*100.00%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电气自动化技术</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71.43%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传播与策划</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81.25%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计算机网络技术</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87.10%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99.47%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会计</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81.25%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99.06%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工程造价</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81.54%</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98.85%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工商企业管理</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71.05%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98.77%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汽车检测与维修技术</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89.66%</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98.73%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金融管理</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86.96%</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97.92%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酒店管理</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100.00%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97.30%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物流管理</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88.89%</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97.18%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建筑工程技术</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84.31%</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97.12%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社区康复</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66.67%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97.06%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大数据技术与应用</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76.47%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96.92%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软件技术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92.00%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96.90%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建筑设计</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68.97%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96.55%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健康管理</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80.00%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90.91%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护理</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87.42%</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87.71%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助产</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71.43%</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等线"/>
                <w:snapToGrid/>
                <w:sz w:val="21"/>
                <w:lang w:eastAsia="zh-CN"/>
              </w:rPr>
              <w:t>76.22%</w:t>
            </w:r>
          </w:p>
        </w:tc>
      </w:tr>
    </w:tbl>
    <w:p>
      <w:pPr>
        <w:pBdr>
          <w:top w:val="none" w:color="000000" w:sz="0" w:space="0"/>
          <w:left w:val="none" w:color="000000" w:sz="0" w:space="0"/>
          <w:bottom w:val="none" w:color="000000" w:sz="0" w:space="0"/>
          <w:right w:val="none" w:color="000000" w:sz="0" w:space="0"/>
          <w:between w:val="none" w:color="000000" w:sz="0" w:space="0"/>
        </w:pBdr>
        <w:jc w:val="both"/>
        <w:rPr>
          <w:rFonts w:eastAsia="黑体"/>
          <w:sz w:val="21"/>
          <w:szCs w:val="20"/>
          <w:lang w:eastAsia="zh-CN"/>
        </w:rPr>
      </w:pPr>
      <w:r>
        <w:rPr>
          <w:rFonts w:hint="eastAsia" w:eastAsia="黑体"/>
          <w:sz w:val="21"/>
          <w:szCs w:val="20"/>
          <w:lang w:eastAsia="zh-CN"/>
        </w:rPr>
        <w:t>注：*</w:t>
      </w:r>
      <w:r>
        <w:rPr>
          <w:rFonts w:eastAsia="黑体"/>
          <w:sz w:val="21"/>
          <w:szCs w:val="20"/>
          <w:lang w:eastAsia="zh-CN"/>
        </w:rPr>
        <w:t>专业</w:t>
      </w:r>
      <w:r>
        <w:rPr>
          <w:rFonts w:hint="eastAsia" w:eastAsia="黑体"/>
          <w:sz w:val="21"/>
          <w:szCs w:val="20"/>
          <w:lang w:eastAsia="zh-CN"/>
        </w:rPr>
        <w:t>样本量较小，其分析结果仅供参考，不纳入到报告结论的分析范畴。</w:t>
      </w:r>
    </w:p>
    <w:p>
      <w:pPr>
        <w:rPr>
          <w:snapToGrid/>
          <w:sz w:val="21"/>
          <w:lang w:eastAsia="zh-CN"/>
        </w:rPr>
      </w:pPr>
      <w:r>
        <w:rPr>
          <w:rFonts w:hint="eastAsia" w:ascii="仿宋" w:hAnsi="仿宋"/>
          <w:sz w:val="21"/>
          <w:lang w:eastAsia="zh-CN"/>
        </w:rPr>
        <w:t>数据来源：北京新锦成教育技术有限公司</w:t>
      </w:r>
    </w:p>
    <w:p>
      <w:pPr>
        <w:pStyle w:val="2"/>
        <w:ind w:firstLine="640"/>
        <w:rPr>
          <w:lang w:eastAsia="zh-CN"/>
        </w:rPr>
      </w:pPr>
      <w:bookmarkStart w:id="133" w:name="_Toc130307139"/>
      <w:bookmarkStart w:id="134" w:name="_Toc148372470"/>
      <w:bookmarkStart w:id="135" w:name="_Toc151887745"/>
      <w:r>
        <w:rPr>
          <w:rFonts w:hint="eastAsia"/>
          <w:lang w:eastAsia="zh-CN"/>
        </w:rPr>
        <w:t>二</w:t>
      </w:r>
      <w:r>
        <w:rPr>
          <w:lang w:eastAsia="zh-CN"/>
        </w:rPr>
        <w:t>、</w:t>
      </w:r>
      <w:r>
        <w:rPr>
          <w:rFonts w:hint="eastAsia"/>
          <w:lang w:eastAsia="zh-CN"/>
        </w:rPr>
        <w:t>毕业去向</w:t>
      </w:r>
      <w:bookmarkEnd w:id="133"/>
      <w:bookmarkEnd w:id="134"/>
      <w:bookmarkEnd w:id="135"/>
    </w:p>
    <w:p>
      <w:pPr>
        <w:ind w:firstLine="640"/>
        <w:rPr>
          <w:lang w:eastAsia="zh-CN"/>
        </w:rPr>
      </w:pPr>
      <w:r>
        <w:rPr>
          <w:lang w:eastAsia="zh-CN"/>
        </w:rPr>
        <w:t>2022届毕业生毕业去向以</w:t>
      </w:r>
      <w:r>
        <w:rPr>
          <w:rFonts w:hint="eastAsia"/>
          <w:lang w:val="zh-CN" w:eastAsia="zh-CN"/>
        </w:rPr>
        <w:t>“国内工作”（39.49%）</w:t>
      </w:r>
      <w:r>
        <w:rPr>
          <w:lang w:eastAsia="zh-CN"/>
        </w:rPr>
        <w:t>为主，</w:t>
      </w:r>
      <w:r>
        <w:rPr>
          <w:lang w:val="zh-CN" w:eastAsia="zh-CN"/>
        </w:rPr>
        <w:t>“国内求学”（30.49%）</w:t>
      </w:r>
      <w:r>
        <w:rPr>
          <w:lang w:eastAsia="zh-CN"/>
        </w:rPr>
        <w:t>次之；其中“国内工作”比例比全国高校</w:t>
      </w:r>
      <w:r>
        <w:rPr>
          <w:lang w:val="zh-CN" w:eastAsia="zh-CN"/>
        </w:rPr>
        <w:t>2022</w:t>
      </w:r>
      <w:r>
        <w:rPr>
          <w:lang w:eastAsia="zh-CN"/>
        </w:rPr>
        <w:t>届毕业生</w:t>
      </w:r>
      <w:r>
        <w:rPr>
          <w:rFonts w:hint="eastAsia"/>
          <w:lang w:eastAsia="zh-CN"/>
        </w:rPr>
        <w:t>低</w:t>
      </w:r>
      <w:r>
        <w:rPr>
          <w:lang w:eastAsia="zh-CN"/>
        </w:rPr>
        <w:t>11.54个百分点；而“国内求学”比例比全国高校</w:t>
      </w:r>
      <w:r>
        <w:rPr>
          <w:lang w:val="zh-CN" w:eastAsia="zh-CN"/>
        </w:rPr>
        <w:t>2022</w:t>
      </w:r>
      <w:r>
        <w:rPr>
          <w:lang w:eastAsia="zh-CN"/>
        </w:rPr>
        <w:t>届毕业生</w:t>
      </w:r>
      <w:r>
        <w:rPr>
          <w:rFonts w:hint="eastAsia"/>
          <w:lang w:eastAsia="zh-CN"/>
        </w:rPr>
        <w:t>高</w:t>
      </w:r>
      <w:r>
        <w:rPr>
          <w:lang w:eastAsia="zh-CN"/>
        </w:rPr>
        <w:t>15.25个百分点。</w:t>
      </w:r>
    </w:p>
    <w:p>
      <w:pPr>
        <w:pBdr>
          <w:top w:val="none" w:color="000000" w:sz="0" w:space="0"/>
          <w:left w:val="none" w:color="000000" w:sz="0" w:space="0"/>
          <w:bottom w:val="none" w:color="000000" w:sz="0" w:space="0"/>
          <w:right w:val="none" w:color="000000" w:sz="0" w:space="0"/>
          <w:between w:val="none" w:color="000000" w:sz="0" w:space="0"/>
        </w:pBdr>
        <w:spacing w:line="360" w:lineRule="auto"/>
        <w:ind w:firstLine="480"/>
        <w:jc w:val="center"/>
        <w:rPr>
          <w:rFonts w:eastAsia="Calibri"/>
          <w:color w:val="auto"/>
          <w:sz w:val="24"/>
          <w:lang w:eastAsia="zh-CN"/>
        </w:rPr>
      </w:pPr>
      <w:r>
        <w:rPr>
          <w:rFonts w:eastAsia="Calibri" w:cs="宋体"/>
          <w:sz w:val="24"/>
          <w:lang w:eastAsia="zh-CN"/>
        </w:rPr>
        <w:drawing>
          <wp:inline distT="0" distB="0" distL="0" distR="0">
            <wp:extent cx="5210175" cy="2628900"/>
            <wp:effectExtent l="0" t="0" r="9525" b="12700"/>
            <wp:docPr id="518"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136" w:name="_Toc129867490"/>
      <w:r>
        <w:rPr>
          <w:rFonts w:hint="eastAsia" w:eastAsia="黑体"/>
          <w:b/>
          <w:sz w:val="21"/>
          <w:lang w:eastAsia="zh-CN"/>
        </w:rPr>
        <w:t>图4.</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图2-2-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3</w:t>
      </w:r>
      <w:r>
        <w:rPr>
          <w:rFonts w:eastAsia="黑体"/>
          <w:b/>
          <w:sz w:val="21"/>
          <w:lang w:eastAsia="zh-CN"/>
        </w:rPr>
        <w:fldChar w:fldCharType="end"/>
      </w:r>
      <w:r>
        <w:rPr>
          <w:rFonts w:hint="eastAsia" w:eastAsia="黑体"/>
          <w:b/>
          <w:sz w:val="21"/>
          <w:lang w:eastAsia="zh-CN"/>
        </w:rPr>
        <w:t xml:space="preserve"> </w:t>
      </w:r>
      <w:r>
        <w:rPr>
          <w:rFonts w:eastAsia="黑体"/>
          <w:b/>
          <w:sz w:val="21"/>
          <w:lang w:eastAsia="zh-CN"/>
        </w:rPr>
        <w:t xml:space="preserve">  2020-2022届</w:t>
      </w:r>
      <w:r>
        <w:rPr>
          <w:rFonts w:hint="eastAsia" w:eastAsia="黑体"/>
          <w:b/>
          <w:sz w:val="21"/>
          <w:lang w:eastAsia="zh-CN"/>
        </w:rPr>
        <w:t>毕业生</w:t>
      </w:r>
      <w:r>
        <w:rPr>
          <w:rFonts w:eastAsia="黑体"/>
          <w:b/>
          <w:sz w:val="21"/>
          <w:lang w:eastAsia="zh-CN"/>
        </w:rPr>
        <w:t>毕业去向</w:t>
      </w:r>
      <w:r>
        <w:rPr>
          <w:rFonts w:hint="eastAsia" w:eastAsia="黑体"/>
          <w:b/>
          <w:sz w:val="21"/>
          <w:lang w:eastAsia="zh-CN"/>
        </w:rPr>
        <w:t>对比</w:t>
      </w:r>
      <w:r>
        <w:rPr>
          <w:rFonts w:eastAsia="黑体"/>
          <w:b/>
          <w:sz w:val="21"/>
          <w:lang w:eastAsia="zh-CN"/>
        </w:rPr>
        <w:t>分析</w:t>
      </w:r>
      <w:bookmarkEnd w:id="136"/>
    </w:p>
    <w:p>
      <w:pPr>
        <w:rPr>
          <w:snapToGrid/>
          <w:sz w:val="21"/>
          <w:lang w:eastAsia="zh-CN"/>
        </w:rPr>
      </w:pPr>
      <w:r>
        <w:rPr>
          <w:rFonts w:hint="eastAsia" w:ascii="仿宋" w:hAnsi="仿宋"/>
          <w:sz w:val="21"/>
          <w:lang w:eastAsia="zh-CN"/>
        </w:rPr>
        <w:t>数据来源：北京新锦成教育技术有限公司</w:t>
      </w:r>
    </w:p>
    <w:p>
      <w:pPr>
        <w:pStyle w:val="3"/>
        <w:ind w:firstLine="643"/>
        <w:rPr>
          <w:lang w:val="zh-CN" w:eastAsia="zh-CN"/>
        </w:rPr>
      </w:pPr>
      <w:bookmarkStart w:id="137" w:name="_Toc151887746"/>
      <w:r>
        <w:rPr>
          <w:rFonts w:hint="eastAsia"/>
          <w:lang w:val="zh-CN" w:eastAsia="zh-CN"/>
        </w:rPr>
        <w:t>（一）</w:t>
      </w:r>
      <w:r>
        <w:rPr>
          <w:lang w:val="zh-CN" w:eastAsia="zh-CN"/>
        </w:rPr>
        <w:t>各</w:t>
      </w:r>
      <w:r>
        <w:rPr>
          <w:rFonts w:hint="eastAsia"/>
          <w:lang w:val="zh-CN" w:eastAsia="zh-CN"/>
        </w:rPr>
        <w:t>学院</w:t>
      </w:r>
      <w:r>
        <w:rPr>
          <w:lang w:val="zh-CN" w:eastAsia="zh-CN"/>
        </w:rPr>
        <w:t>毕业去向</w:t>
      </w:r>
      <w:r>
        <w:rPr>
          <w:rFonts w:hint="eastAsia"/>
          <w:lang w:val="zh-CN" w:eastAsia="zh-CN"/>
        </w:rPr>
        <w:t>分布</w:t>
      </w:r>
      <w:bookmarkEnd w:id="137"/>
    </w:p>
    <w:p>
      <w:pPr>
        <w:ind w:firstLine="640"/>
        <w:rPr>
          <w:lang w:eastAsia="zh-CN"/>
        </w:rPr>
      </w:pPr>
      <w:r>
        <w:rPr>
          <w:rFonts w:hint="eastAsia"/>
          <w:lang w:eastAsia="zh-CN"/>
        </w:rPr>
        <w:t>各学院毕业去向</w:t>
      </w:r>
      <w:r>
        <w:rPr>
          <w:lang w:eastAsia="zh-CN"/>
        </w:rPr>
        <w:t>：</w:t>
      </w:r>
      <w:r>
        <w:rPr>
          <w:rFonts w:hint="eastAsia"/>
          <w:lang w:eastAsia="zh-CN"/>
        </w:rPr>
        <w:t>各学院就业去向存在一定差异，</w:t>
      </w:r>
      <w:r>
        <w:rPr>
          <w:lang w:eastAsia="zh-CN"/>
        </w:rPr>
        <w:t>其中</w:t>
      </w:r>
      <w:r>
        <w:rPr>
          <w:rFonts w:hint="eastAsia"/>
          <w:lang w:eastAsia="zh-CN"/>
        </w:rPr>
        <w:t>“化学与材料工程学院”</w:t>
      </w:r>
      <w:r>
        <w:rPr>
          <w:lang w:eastAsia="zh-CN"/>
        </w:rPr>
        <w:t>毕业生毕业去向为</w:t>
      </w:r>
      <w:r>
        <w:rPr>
          <w:rFonts w:hint="eastAsia"/>
          <w:lang w:eastAsia="zh-CN"/>
        </w:rPr>
        <w:t>“</w:t>
      </w:r>
      <w:r>
        <w:rPr>
          <w:lang w:eastAsia="zh-CN"/>
        </w:rPr>
        <w:t>国内工作</w:t>
      </w:r>
      <w:r>
        <w:rPr>
          <w:rFonts w:hint="eastAsia"/>
          <w:lang w:eastAsia="zh-CN"/>
        </w:rPr>
        <w:t>”</w:t>
      </w:r>
      <w:r>
        <w:rPr>
          <w:lang w:eastAsia="zh-CN"/>
        </w:rPr>
        <w:t>的比例最高（</w:t>
      </w:r>
      <w:r>
        <w:rPr>
          <w:rFonts w:hint="eastAsia"/>
          <w:lang w:eastAsia="zh-CN"/>
        </w:rPr>
        <w:t>51.85%</w:t>
      </w:r>
      <w:bookmarkStart w:id="138" w:name="_Hlk130458874"/>
      <w:bookmarkEnd w:id="138"/>
      <w:r>
        <w:rPr>
          <w:lang w:eastAsia="zh-CN"/>
        </w:rPr>
        <w:t>），</w:t>
      </w:r>
      <w:r>
        <w:rPr>
          <w:rFonts w:hint="eastAsia"/>
          <w:lang w:eastAsia="zh-CN"/>
        </w:rPr>
        <w:t>“海事学院”</w:t>
      </w:r>
      <w:r>
        <w:rPr>
          <w:lang w:eastAsia="zh-CN"/>
        </w:rPr>
        <w:t>毕业去向为</w:t>
      </w:r>
      <w:r>
        <w:rPr>
          <w:rFonts w:hint="eastAsia"/>
          <w:lang w:eastAsia="zh-CN"/>
        </w:rPr>
        <w:t>“</w:t>
      </w:r>
      <w:r>
        <w:rPr>
          <w:lang w:eastAsia="zh-CN"/>
        </w:rPr>
        <w:t>国内工作</w:t>
      </w:r>
      <w:r>
        <w:rPr>
          <w:rFonts w:hint="eastAsia"/>
          <w:lang w:eastAsia="zh-CN"/>
        </w:rPr>
        <w:t>”</w:t>
      </w:r>
      <w:r>
        <w:rPr>
          <w:lang w:eastAsia="zh-CN"/>
        </w:rPr>
        <w:t>的占比相对较低（</w:t>
      </w:r>
      <w:r>
        <w:rPr>
          <w:rFonts w:hint="eastAsia"/>
          <w:lang w:eastAsia="zh-CN"/>
        </w:rPr>
        <w:t>27.14%</w:t>
      </w:r>
      <w:r>
        <w:rPr>
          <w:lang w:eastAsia="zh-CN"/>
        </w:rPr>
        <w:t>）</w:t>
      </w:r>
      <w:r>
        <w:rPr>
          <w:rFonts w:hint="eastAsia"/>
          <w:lang w:eastAsia="zh-CN"/>
        </w:rPr>
        <w:t>。</w:t>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139" w:name="_Toc129867491"/>
      <w:r>
        <w:rPr>
          <w:rFonts w:hint="eastAsia" w:eastAsia="黑体"/>
          <w:b/>
          <w:sz w:val="21"/>
          <w:lang w:eastAsia="zh-CN"/>
        </w:rPr>
        <w:t>表4.</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表2-2-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2</w:t>
      </w:r>
      <w:r>
        <w:rPr>
          <w:rFonts w:eastAsia="黑体"/>
          <w:b/>
          <w:sz w:val="21"/>
          <w:lang w:eastAsia="zh-CN"/>
        </w:rPr>
        <w:fldChar w:fldCharType="end"/>
      </w:r>
      <w:r>
        <w:rPr>
          <w:rFonts w:eastAsia="黑体"/>
          <w:b/>
          <w:sz w:val="21"/>
          <w:lang w:eastAsia="zh-CN"/>
        </w:rPr>
        <w:t xml:space="preserve">  </w:t>
      </w:r>
      <w:r>
        <w:rPr>
          <w:rFonts w:hint="eastAsia" w:eastAsia="黑体"/>
          <w:b/>
          <w:sz w:val="21"/>
          <w:lang w:eastAsia="zh-CN"/>
        </w:rPr>
        <w:t>2022届各学院毕业生毕业去向分布</w:t>
      </w:r>
      <w:bookmarkEnd w:id="139"/>
    </w:p>
    <w:tbl>
      <w:tblPr>
        <w:tblStyle w:val="30"/>
        <w:tblW w:w="0" w:type="auto"/>
        <w:jc w:val="cente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2114"/>
        <w:gridCol w:w="864"/>
        <w:gridCol w:w="864"/>
        <w:gridCol w:w="864"/>
        <w:gridCol w:w="759"/>
        <w:gridCol w:w="1166"/>
        <w:gridCol w:w="1166"/>
        <w:gridCol w:w="864"/>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jc w:val="center"/>
        </w:trPr>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cs="微软雅黑"/>
                <w:b/>
                <w:bCs/>
                <w:snapToGrid/>
                <w:color w:val="CCE8CF"/>
                <w:sz w:val="21"/>
                <w:lang w:eastAsia="zh-CN"/>
              </w:rPr>
              <w:t>学院</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微软雅黑"/>
                <w:b/>
                <w:bCs/>
                <w:snapToGrid/>
                <w:color w:val="CCE8CF"/>
                <w:sz w:val="21"/>
                <w:lang w:eastAsia="zh-CN"/>
              </w:rPr>
            </w:pPr>
            <w:r>
              <w:rPr>
                <w:rFonts w:hint="eastAsia" w:ascii="宋体" w:hAnsi="宋体" w:eastAsia="宋体" w:cs="微软雅黑"/>
                <w:b/>
                <w:bCs/>
                <w:snapToGrid/>
                <w:color w:val="CCE8CF"/>
                <w:sz w:val="21"/>
                <w:lang w:eastAsia="zh-CN"/>
              </w:rPr>
              <w:t>国内</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cs="微软雅黑"/>
                <w:b/>
                <w:bCs/>
                <w:snapToGrid/>
                <w:color w:val="CCE8CF"/>
                <w:sz w:val="21"/>
                <w:lang w:eastAsia="zh-CN"/>
              </w:rPr>
              <w:t>工作</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微软雅黑"/>
                <w:b/>
                <w:bCs/>
                <w:snapToGrid/>
                <w:color w:val="CCE8CF"/>
                <w:sz w:val="21"/>
                <w:lang w:eastAsia="zh-CN"/>
              </w:rPr>
            </w:pPr>
            <w:r>
              <w:rPr>
                <w:rFonts w:hint="eastAsia" w:ascii="宋体" w:hAnsi="宋体" w:eastAsia="宋体" w:cs="微软雅黑"/>
                <w:b/>
                <w:bCs/>
                <w:snapToGrid/>
                <w:color w:val="CCE8CF"/>
                <w:sz w:val="21"/>
                <w:lang w:eastAsia="zh-CN"/>
              </w:rPr>
              <w:t>国内</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cs="微软雅黑"/>
                <w:b/>
                <w:bCs/>
                <w:snapToGrid/>
                <w:color w:val="CCE8CF"/>
                <w:sz w:val="21"/>
                <w:lang w:eastAsia="zh-CN"/>
              </w:rPr>
              <w:t>求学</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微软雅黑"/>
                <w:b/>
                <w:bCs/>
                <w:snapToGrid/>
                <w:color w:val="CCE8CF"/>
                <w:sz w:val="21"/>
                <w:lang w:eastAsia="zh-CN"/>
              </w:rPr>
            </w:pPr>
            <w:r>
              <w:rPr>
                <w:rFonts w:hint="eastAsia" w:ascii="宋体" w:hAnsi="宋体" w:eastAsia="宋体" w:cs="微软雅黑"/>
                <w:b/>
                <w:bCs/>
                <w:snapToGrid/>
                <w:color w:val="CCE8CF"/>
                <w:sz w:val="21"/>
                <w:lang w:eastAsia="zh-CN"/>
              </w:rPr>
              <w:t>自由</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cs="微软雅黑"/>
                <w:b/>
                <w:bCs/>
                <w:snapToGrid/>
                <w:color w:val="CCE8CF"/>
                <w:sz w:val="21"/>
                <w:lang w:eastAsia="zh-CN"/>
              </w:rPr>
              <w:t>职业</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微软雅黑"/>
                <w:b/>
                <w:bCs/>
                <w:snapToGrid/>
                <w:color w:val="CCE8CF"/>
                <w:sz w:val="21"/>
                <w:lang w:eastAsia="zh-CN"/>
              </w:rPr>
            </w:pPr>
            <w:r>
              <w:rPr>
                <w:rFonts w:hint="eastAsia" w:ascii="宋体" w:hAnsi="宋体" w:eastAsia="宋体" w:cs="微软雅黑"/>
                <w:b/>
                <w:bCs/>
                <w:snapToGrid/>
                <w:color w:val="CCE8CF"/>
                <w:sz w:val="21"/>
                <w:lang w:eastAsia="zh-CN"/>
              </w:rPr>
              <w:t>自主</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cs="微软雅黑"/>
                <w:b/>
                <w:bCs/>
                <w:snapToGrid/>
                <w:color w:val="CCE8CF"/>
                <w:sz w:val="21"/>
                <w:lang w:eastAsia="zh-CN"/>
              </w:rPr>
              <w:t>创业</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微软雅黑"/>
                <w:b/>
                <w:bCs/>
                <w:snapToGrid/>
                <w:color w:val="CCE8CF"/>
                <w:sz w:val="21"/>
                <w:lang w:eastAsia="zh-CN"/>
              </w:rPr>
            </w:pPr>
            <w:r>
              <w:rPr>
                <w:rFonts w:hint="eastAsia" w:ascii="宋体" w:hAnsi="宋体" w:eastAsia="宋体" w:cs="微软雅黑"/>
                <w:b/>
                <w:bCs/>
                <w:snapToGrid/>
                <w:color w:val="CCE8CF"/>
                <w:sz w:val="21"/>
                <w:lang w:eastAsia="zh-CN"/>
              </w:rPr>
              <w:t>出国/出境</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cs="微软雅黑"/>
                <w:b/>
                <w:bCs/>
                <w:snapToGrid/>
                <w:color w:val="CCE8CF"/>
                <w:sz w:val="21"/>
                <w:lang w:eastAsia="zh-CN"/>
              </w:rPr>
              <w:t>工作</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微软雅黑"/>
                <w:b/>
                <w:bCs/>
                <w:snapToGrid/>
                <w:color w:val="CCE8CF"/>
                <w:sz w:val="21"/>
                <w:lang w:eastAsia="zh-CN"/>
              </w:rPr>
            </w:pPr>
            <w:r>
              <w:rPr>
                <w:rFonts w:hint="eastAsia" w:ascii="宋体" w:hAnsi="宋体" w:eastAsia="宋体" w:cs="微软雅黑"/>
                <w:b/>
                <w:bCs/>
                <w:snapToGrid/>
                <w:color w:val="CCE8CF"/>
                <w:sz w:val="21"/>
                <w:lang w:eastAsia="zh-CN"/>
              </w:rPr>
              <w:t>出国/出境</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cs="微软雅黑"/>
                <w:b/>
                <w:bCs/>
                <w:snapToGrid/>
                <w:color w:val="CCE8CF"/>
                <w:sz w:val="21"/>
                <w:lang w:eastAsia="zh-CN"/>
              </w:rPr>
              <w:t>留学</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cs="微软雅黑"/>
                <w:b/>
                <w:bCs/>
                <w:snapToGrid/>
                <w:color w:val="CCE8CF"/>
                <w:sz w:val="21"/>
                <w:lang w:eastAsia="zh-CN"/>
              </w:rPr>
              <w:t>未就业</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化学与材料工程学院</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51.85%</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13.58%</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23.46%</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8.64%</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1.23%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1.23%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信息工程学院</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51.25%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21.25%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8.75%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2.50%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2.50%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13.75%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设计学院</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47.89%</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28.17%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4.23%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4.23%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1.41%</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14.08%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财经学院</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45.11%</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21.28%</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11.49%</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4.26%</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0.43%</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17.45%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健康科学学院</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44.78%</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22.39%</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5.97%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1.49%</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25.37%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城建学院</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43.03%</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26.67%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5.45%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0.61%</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0.61%</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1.21%</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22.42%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临床医药学院</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38.72%</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24.68%</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5.11%</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5.53%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10.21%</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7.66%</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8.09%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机电工程学院</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37.84%</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32.88%</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6.76%</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0.90%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0.90%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0.90%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19.82%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传媒与音乐学院</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35.71%</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35.71%</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14.29%</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14.29%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国际护理学院</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32.24%</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44.66%</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7.84%</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1.53%</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0.65%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13.07%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海事学院</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27.14%</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28.57%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14.29%</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1.43%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4.29%</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24.29%</w:t>
            </w:r>
          </w:p>
        </w:tc>
      </w:tr>
    </w:tbl>
    <w:p>
      <w:pPr>
        <w:rPr>
          <w:snapToGrid/>
          <w:sz w:val="21"/>
          <w:lang w:eastAsia="zh-CN"/>
        </w:rPr>
      </w:pPr>
      <w:r>
        <w:rPr>
          <w:rFonts w:hint="eastAsia" w:ascii="仿宋" w:hAnsi="仿宋"/>
          <w:sz w:val="21"/>
          <w:lang w:eastAsia="zh-CN"/>
        </w:rPr>
        <w:t>数据来源：北京新锦成教育技术有限公司</w:t>
      </w:r>
    </w:p>
    <w:p>
      <w:pPr>
        <w:pStyle w:val="3"/>
        <w:ind w:firstLine="643"/>
        <w:rPr>
          <w:lang w:val="zh-CN" w:eastAsia="zh-CN"/>
        </w:rPr>
      </w:pPr>
      <w:bookmarkStart w:id="140" w:name="_Toc151887747"/>
      <w:r>
        <w:rPr>
          <w:rFonts w:hint="eastAsia"/>
          <w:lang w:val="zh-CN" w:eastAsia="zh-CN"/>
        </w:rPr>
        <w:t>（二）</w:t>
      </w:r>
      <w:r>
        <w:rPr>
          <w:lang w:val="zh-CN" w:eastAsia="zh-CN"/>
        </w:rPr>
        <w:t>各</w:t>
      </w:r>
      <w:r>
        <w:rPr>
          <w:rFonts w:hint="eastAsia"/>
          <w:lang w:val="zh-CN" w:eastAsia="zh-CN"/>
        </w:rPr>
        <w:t>专业</w:t>
      </w:r>
      <w:r>
        <w:rPr>
          <w:lang w:val="zh-CN" w:eastAsia="zh-CN"/>
        </w:rPr>
        <w:t>毕业去向</w:t>
      </w:r>
      <w:r>
        <w:rPr>
          <w:rFonts w:hint="eastAsia"/>
          <w:lang w:val="zh-CN" w:eastAsia="zh-CN"/>
        </w:rPr>
        <w:t>分布</w:t>
      </w:r>
      <w:bookmarkEnd w:id="140"/>
    </w:p>
    <w:p>
      <w:pPr>
        <w:ind w:firstLine="640"/>
        <w:rPr>
          <w:lang w:eastAsia="zh-CN"/>
        </w:rPr>
      </w:pPr>
      <w:r>
        <w:rPr>
          <w:rFonts w:hint="eastAsia"/>
          <w:lang w:eastAsia="zh-CN"/>
        </w:rPr>
        <w:t>各专业毕业去向</w:t>
      </w:r>
      <w:r>
        <w:rPr>
          <w:lang w:eastAsia="zh-CN"/>
        </w:rPr>
        <w:t>：</w:t>
      </w:r>
      <w:r>
        <w:rPr>
          <w:rFonts w:hint="eastAsia"/>
          <w:lang w:eastAsia="zh-CN"/>
        </w:rPr>
        <w:t>在所有专业毕业生中，“机电一体化技术”</w:t>
      </w:r>
      <w:r>
        <w:rPr>
          <w:lang w:eastAsia="zh-CN"/>
        </w:rPr>
        <w:t>专业</w:t>
      </w:r>
      <w:r>
        <w:rPr>
          <w:rFonts w:hint="eastAsia"/>
          <w:lang w:eastAsia="zh-CN"/>
        </w:rPr>
        <w:t>毕业生“</w:t>
      </w:r>
      <w:r>
        <w:rPr>
          <w:lang w:eastAsia="zh-CN"/>
        </w:rPr>
        <w:t>国内工作</w:t>
      </w:r>
      <w:r>
        <w:rPr>
          <w:rFonts w:hint="eastAsia"/>
          <w:lang w:eastAsia="zh-CN"/>
        </w:rPr>
        <w:t>”的</w:t>
      </w:r>
      <w:r>
        <w:rPr>
          <w:lang w:eastAsia="zh-CN"/>
        </w:rPr>
        <w:t>比例最高（</w:t>
      </w:r>
      <w:r>
        <w:rPr>
          <w:rFonts w:hint="eastAsia"/>
          <w:lang w:eastAsia="zh-CN"/>
        </w:rPr>
        <w:t>70.00%</w:t>
      </w:r>
      <w:r>
        <w:rPr>
          <w:lang w:eastAsia="zh-CN"/>
        </w:rPr>
        <w:t>），而</w:t>
      </w:r>
      <w:r>
        <w:rPr>
          <w:rFonts w:hint="eastAsia"/>
          <w:lang w:eastAsia="zh-CN"/>
        </w:rPr>
        <w:t>“智能控制技术”（0.00%）毕业生“</w:t>
      </w:r>
      <w:r>
        <w:rPr>
          <w:lang w:eastAsia="zh-CN"/>
        </w:rPr>
        <w:t>国内工作</w:t>
      </w:r>
      <w:r>
        <w:rPr>
          <w:rFonts w:hint="eastAsia"/>
          <w:lang w:eastAsia="zh-CN"/>
        </w:rPr>
        <w:t>”的</w:t>
      </w:r>
      <w:r>
        <w:rPr>
          <w:lang w:eastAsia="zh-CN"/>
        </w:rPr>
        <w:t>比例相对较低</w:t>
      </w:r>
      <w:r>
        <w:rPr>
          <w:rFonts w:hint="eastAsia"/>
          <w:lang w:eastAsia="zh-CN"/>
        </w:rPr>
        <w:t>。</w:t>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141" w:name="_Toc129867493"/>
      <w:r>
        <w:rPr>
          <w:rFonts w:hint="eastAsia" w:eastAsia="黑体"/>
          <w:b/>
          <w:sz w:val="21"/>
          <w:lang w:eastAsia="zh-CN"/>
        </w:rPr>
        <w:t>表4.</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表2-2-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3</w:t>
      </w:r>
      <w:r>
        <w:rPr>
          <w:rFonts w:eastAsia="黑体"/>
          <w:b/>
          <w:sz w:val="21"/>
          <w:lang w:eastAsia="zh-CN"/>
        </w:rPr>
        <w:fldChar w:fldCharType="end"/>
      </w:r>
      <w:r>
        <w:rPr>
          <w:rFonts w:eastAsia="黑体"/>
          <w:b/>
          <w:sz w:val="21"/>
          <w:lang w:eastAsia="zh-CN"/>
        </w:rPr>
        <w:t xml:space="preserve">  </w:t>
      </w:r>
      <w:r>
        <w:rPr>
          <w:rFonts w:hint="eastAsia" w:eastAsia="黑体"/>
          <w:b/>
          <w:sz w:val="21"/>
          <w:lang w:eastAsia="zh-CN"/>
        </w:rPr>
        <w:t>2022届各专业毕业生毕业去向分布</w:t>
      </w:r>
      <w:bookmarkEnd w:id="141"/>
    </w:p>
    <w:tbl>
      <w:tblPr>
        <w:tblStyle w:val="30"/>
        <w:tblW w:w="5000" w:type="pct"/>
        <w:jc w:val="cente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2389"/>
        <w:gridCol w:w="969"/>
        <w:gridCol w:w="969"/>
        <w:gridCol w:w="969"/>
        <w:gridCol w:w="864"/>
        <w:gridCol w:w="1364"/>
        <w:gridCol w:w="1364"/>
        <w:gridCol w:w="1074"/>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jc w:val="center"/>
        </w:trPr>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cs="微软雅黑"/>
                <w:b/>
                <w:bCs/>
                <w:snapToGrid/>
                <w:color w:val="CCE8CF"/>
                <w:sz w:val="21"/>
                <w:lang w:eastAsia="zh-CN"/>
              </w:rPr>
              <w:t>专业</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微软雅黑"/>
                <w:b/>
                <w:bCs/>
                <w:snapToGrid/>
                <w:color w:val="CCE8CF"/>
                <w:sz w:val="21"/>
                <w:lang w:eastAsia="zh-CN"/>
              </w:rPr>
            </w:pPr>
            <w:r>
              <w:rPr>
                <w:rFonts w:hint="eastAsia" w:ascii="宋体" w:hAnsi="宋体" w:eastAsia="宋体" w:cs="微软雅黑"/>
                <w:b/>
                <w:bCs/>
                <w:snapToGrid/>
                <w:color w:val="CCE8CF"/>
                <w:sz w:val="21"/>
                <w:lang w:eastAsia="zh-CN"/>
              </w:rPr>
              <w:t>国内</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cs="微软雅黑"/>
                <w:b/>
                <w:bCs/>
                <w:snapToGrid/>
                <w:color w:val="CCE8CF"/>
                <w:sz w:val="21"/>
                <w:lang w:eastAsia="zh-CN"/>
              </w:rPr>
              <w:t>工作</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微软雅黑"/>
                <w:b/>
                <w:bCs/>
                <w:snapToGrid/>
                <w:color w:val="CCE8CF"/>
                <w:sz w:val="21"/>
                <w:lang w:eastAsia="zh-CN"/>
              </w:rPr>
            </w:pPr>
            <w:r>
              <w:rPr>
                <w:rFonts w:hint="eastAsia" w:ascii="宋体" w:hAnsi="宋体" w:eastAsia="宋体" w:cs="微软雅黑"/>
                <w:b/>
                <w:bCs/>
                <w:snapToGrid/>
                <w:color w:val="CCE8CF"/>
                <w:sz w:val="21"/>
                <w:lang w:eastAsia="zh-CN"/>
              </w:rPr>
              <w:t>国内</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cs="微软雅黑"/>
                <w:b/>
                <w:bCs/>
                <w:snapToGrid/>
                <w:color w:val="CCE8CF"/>
                <w:sz w:val="21"/>
                <w:lang w:eastAsia="zh-CN"/>
              </w:rPr>
              <w:t>求学</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微软雅黑"/>
                <w:b/>
                <w:bCs/>
                <w:snapToGrid/>
                <w:color w:val="CCE8CF"/>
                <w:sz w:val="21"/>
                <w:lang w:eastAsia="zh-CN"/>
              </w:rPr>
            </w:pPr>
            <w:r>
              <w:rPr>
                <w:rFonts w:hint="eastAsia" w:ascii="宋体" w:hAnsi="宋体" w:eastAsia="宋体" w:cs="微软雅黑"/>
                <w:b/>
                <w:bCs/>
                <w:snapToGrid/>
                <w:color w:val="CCE8CF"/>
                <w:sz w:val="21"/>
                <w:lang w:eastAsia="zh-CN"/>
              </w:rPr>
              <w:t>自由</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cs="微软雅黑"/>
                <w:b/>
                <w:bCs/>
                <w:snapToGrid/>
                <w:color w:val="CCE8CF"/>
                <w:sz w:val="21"/>
                <w:lang w:eastAsia="zh-CN"/>
              </w:rPr>
              <w:t>职业</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微软雅黑"/>
                <w:b/>
                <w:bCs/>
                <w:snapToGrid/>
                <w:color w:val="CCE8CF"/>
                <w:sz w:val="21"/>
                <w:lang w:eastAsia="zh-CN"/>
              </w:rPr>
            </w:pPr>
            <w:r>
              <w:rPr>
                <w:rFonts w:hint="eastAsia" w:ascii="宋体" w:hAnsi="宋体" w:eastAsia="宋体" w:cs="微软雅黑"/>
                <w:b/>
                <w:bCs/>
                <w:snapToGrid/>
                <w:color w:val="CCE8CF"/>
                <w:sz w:val="21"/>
                <w:lang w:eastAsia="zh-CN"/>
              </w:rPr>
              <w:t>自主</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cs="微软雅黑"/>
                <w:b/>
                <w:bCs/>
                <w:snapToGrid/>
                <w:color w:val="CCE8CF"/>
                <w:sz w:val="21"/>
                <w:lang w:eastAsia="zh-CN"/>
              </w:rPr>
              <w:t>创业</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cs="微软雅黑"/>
                <w:b/>
                <w:bCs/>
                <w:snapToGrid/>
                <w:color w:val="CCE8CF"/>
                <w:sz w:val="21"/>
                <w:lang w:eastAsia="zh-CN"/>
              </w:rPr>
              <w:t>出国/出境工作</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cs="微软雅黑"/>
                <w:b/>
                <w:bCs/>
                <w:snapToGrid/>
                <w:color w:val="CCE8CF"/>
                <w:sz w:val="21"/>
                <w:lang w:eastAsia="zh-CN"/>
              </w:rPr>
              <w:t>出国/出境留学</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cs="微软雅黑"/>
                <w:b/>
                <w:bCs/>
                <w:snapToGrid/>
                <w:color w:val="CCE8CF"/>
                <w:sz w:val="21"/>
                <w:lang w:eastAsia="zh-CN"/>
              </w:rPr>
              <w:t>未就业</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机电一体化</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技术</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70.00%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烹调工艺与</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营养</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66.67%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13.33%</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6.67%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13.33%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软件技术</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64.00%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16.00%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8.00%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8.00%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汽车检测与维修技术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62.07%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10.34%</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13.79%</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3.45%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10.34%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建筑工程技术</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60.78%</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17.65%</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3.92%</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1.96%</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15.69%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环境艺术设计</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56.25%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18.75%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18.75%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6.25%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传播与策划</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56.25%</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25.00%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18.75%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物流管理</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55.56%</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18.52%</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7.41%</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3.70%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3.70%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11.11%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大数据技术与应用</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52.94%</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23.53%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23.53%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食品营养与</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检测</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52.94%</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5.88%</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29.41%</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11.76%</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市场营销</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52.63%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15.79%</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10.53%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5.26%</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15.79%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石油化工技术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52.17%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34.78%</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8.70%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4.35%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药品生产技术</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4.17%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29.17%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12.50%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4.17%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艺术设计</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33.33%</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4.17%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12.50%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旅游管理</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健康管理</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45.00%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27.50%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2.50%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工程造价</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44.62%</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27.69%</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7.69%</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1.54%</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18.46%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社区康复</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44.44%</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14.81%</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7.41%</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33.33%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会计</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42.50%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21.25%</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16.25%</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1.25%</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18.75%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计算机网络</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41.94%</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25.81%</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9.68%</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3.23%</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6.45%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12.90%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中药学</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41.18%</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5.88%</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2.35%</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10.59%</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17.65%</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15.29%</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7.06%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新能源汽车</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37.33%</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8.00%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1.33%</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13.33%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工商企业管理</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39.47%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23.68%</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5.26%</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2.63%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28.95%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电气自动化</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39.29%</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25.00%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7.14%</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28.57%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口腔医学技术</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37.33%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35.33%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6.67%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2.67%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6.00%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3.33%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8.67%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机械设计与制造（中高职转段）</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36.36%</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40.91%</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4.55%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18.18%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助产</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35.71%</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7.14%</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21.43%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7.14%</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28.57%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音乐表演</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35.71%</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35.71%</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14.29%</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14.29%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金融管理</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34.78%</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26.09%</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17.39%</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8.70%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13.04%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水路运输与海事管理</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33.33%</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22.22%</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44.44%</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护理</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32.13%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45.84%</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7.42%</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1.35%</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0.67%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12.58%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建筑设计</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31.03%</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31.03%</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3.45%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3.45%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31.03%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机械设计与</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制造</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30.77%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30.77%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38.46%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酒店管理</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30.77%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30.77%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15.38%</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23.08%</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国际邮轮乘务管理</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航海技术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29.73%</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24.32%</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8.11%</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2.70%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5.41%</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29.73%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风景园林设计</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26.67%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33.33%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工业机器人</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60.00%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机电一体化技术（中高职转段）</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19.23%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34.62%</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3.85%</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3.85%</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38.46%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轮机工程技术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建筑装饰工程技术</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智能控制技术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64.29%</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7.14%</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7.14%</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7.14%</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7.14%</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7.14%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电子商务</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*16.67%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*33.33%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体育运营与</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管理</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*25.00%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*25.00%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*25.00%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*25.00%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移动通信技术</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*100.00%</w:t>
            </w:r>
          </w:p>
        </w:tc>
      </w:tr>
    </w:tbl>
    <w:p>
      <w:pPr>
        <w:pBdr>
          <w:top w:val="none" w:color="000000" w:sz="0" w:space="0"/>
          <w:left w:val="none" w:color="000000" w:sz="0" w:space="0"/>
          <w:bottom w:val="none" w:color="000000" w:sz="0" w:space="0"/>
          <w:right w:val="none" w:color="000000" w:sz="0" w:space="0"/>
          <w:between w:val="none" w:color="000000" w:sz="0" w:space="0"/>
        </w:pBdr>
        <w:jc w:val="both"/>
        <w:rPr>
          <w:rFonts w:eastAsia="黑体"/>
          <w:sz w:val="21"/>
          <w:szCs w:val="20"/>
          <w:lang w:eastAsia="zh-CN"/>
        </w:rPr>
      </w:pPr>
      <w:r>
        <w:rPr>
          <w:rFonts w:eastAsia="黑体"/>
          <w:sz w:val="21"/>
          <w:szCs w:val="20"/>
          <w:lang w:eastAsia="zh-CN"/>
        </w:rPr>
        <w:t>注：*</w:t>
      </w:r>
      <w:r>
        <w:rPr>
          <w:rFonts w:hint="eastAsia" w:eastAsia="黑体"/>
          <w:sz w:val="21"/>
          <w:szCs w:val="20"/>
          <w:lang w:eastAsia="zh-CN"/>
        </w:rPr>
        <w:t>专业样本量较小，其分析结果仅供参考，不纳入到报告结论的分析范畴。</w:t>
      </w:r>
    </w:p>
    <w:p>
      <w:pPr>
        <w:rPr>
          <w:snapToGrid/>
          <w:sz w:val="21"/>
          <w:lang w:eastAsia="zh-CN"/>
        </w:rPr>
      </w:pPr>
      <w:r>
        <w:rPr>
          <w:rFonts w:hint="eastAsia" w:ascii="仿宋" w:hAnsi="仿宋"/>
          <w:sz w:val="21"/>
          <w:lang w:eastAsia="zh-CN"/>
        </w:rPr>
        <w:t>数据来源：北京新锦成教育技术有限公司</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textAlignment w:val="auto"/>
        <w:rPr>
          <w:rFonts w:eastAsia="黑体"/>
          <w:b/>
          <w:bCs/>
          <w:snapToGrid/>
          <w:sz w:val="30"/>
          <w:szCs w:val="32"/>
          <w:lang w:eastAsia="zh-CN"/>
        </w:rPr>
      </w:pPr>
      <w:bookmarkStart w:id="142" w:name="_Toc130307140"/>
      <w:r>
        <w:rPr>
          <w:rFonts w:eastAsia="宋体"/>
          <w:snapToGrid/>
          <w:sz w:val="24"/>
          <w:szCs w:val="24"/>
          <w:lang w:eastAsia="zh-CN"/>
        </w:rPr>
        <w:br w:type="page"/>
      </w:r>
    </w:p>
    <w:p>
      <w:pPr>
        <w:pStyle w:val="2"/>
        <w:ind w:firstLine="640"/>
        <w:rPr>
          <w:lang w:eastAsia="zh-CN"/>
        </w:rPr>
      </w:pPr>
      <w:bookmarkStart w:id="143" w:name="_Toc148372471"/>
      <w:bookmarkStart w:id="144" w:name="_Toc151887748"/>
      <w:r>
        <w:rPr>
          <w:rFonts w:hint="eastAsia"/>
          <w:lang w:eastAsia="zh-CN"/>
        </w:rPr>
        <w:t>三</w:t>
      </w:r>
      <w:r>
        <w:rPr>
          <w:lang w:eastAsia="zh-CN"/>
        </w:rPr>
        <w:t>、</w:t>
      </w:r>
      <w:r>
        <w:rPr>
          <w:rFonts w:hint="eastAsia"/>
          <w:lang w:eastAsia="zh-CN"/>
        </w:rPr>
        <w:t>就业机会充分度</w:t>
      </w:r>
      <w:bookmarkEnd w:id="142"/>
      <w:bookmarkEnd w:id="143"/>
      <w:bookmarkEnd w:id="144"/>
    </w:p>
    <w:p>
      <w:pPr>
        <w:ind w:firstLine="640"/>
        <w:rPr>
          <w:lang w:eastAsia="zh-CN"/>
        </w:rPr>
      </w:pPr>
      <w:r>
        <w:rPr>
          <w:rFonts w:hint="eastAsia"/>
          <w:lang w:eastAsia="zh-CN"/>
        </w:rPr>
        <w:t>就业机会充分度：</w:t>
      </w:r>
      <w:r>
        <w:rPr>
          <w:lang w:eastAsia="zh-CN"/>
        </w:rPr>
        <w:t>就业机会充分度体现某一专业社会需求的多少和毕业生就业的难易程度，较为准确地反映当前的就业形势。</w:t>
      </w:r>
    </w:p>
    <w:p>
      <w:pPr>
        <w:ind w:firstLine="640"/>
        <w:rPr>
          <w:lang w:eastAsia="zh-CN"/>
        </w:rPr>
      </w:pPr>
      <w:r>
        <w:rPr>
          <w:lang w:eastAsia="zh-CN"/>
        </w:rPr>
        <w:t>2022届毕业生</w:t>
      </w:r>
      <w:r>
        <w:rPr>
          <w:rFonts w:hint="eastAsia"/>
          <w:lang w:eastAsia="zh-CN"/>
        </w:rPr>
        <w:t>选择</w:t>
      </w:r>
      <w:r>
        <w:rPr>
          <w:lang w:eastAsia="zh-CN"/>
        </w:rPr>
        <w:t>就业机会</w:t>
      </w:r>
      <w:r>
        <w:rPr>
          <w:rFonts w:hint="eastAsia"/>
          <w:lang w:eastAsia="zh-CN"/>
        </w:rPr>
        <w:t>“较多”的占比为43.34%；</w:t>
      </w:r>
      <w:r>
        <w:rPr>
          <w:lang w:eastAsia="zh-CN"/>
        </w:rPr>
        <w:t>其中认为“非常多”的占比为</w:t>
      </w:r>
      <w:r>
        <w:rPr>
          <w:rFonts w:hint="eastAsia"/>
          <w:lang w:eastAsia="zh-CN"/>
        </w:rPr>
        <w:t>19.16%</w:t>
      </w:r>
      <w:r>
        <w:rPr>
          <w:lang w:eastAsia="zh-CN"/>
        </w:rPr>
        <w:t>，认为“比较多”的占比为</w:t>
      </w:r>
      <w:r>
        <w:rPr>
          <w:rFonts w:hint="eastAsia"/>
          <w:lang w:eastAsia="zh-CN"/>
        </w:rPr>
        <w:t>24.18%</w:t>
      </w:r>
      <w:r>
        <w:rPr>
          <w:lang w:eastAsia="zh-CN"/>
        </w:rPr>
        <w:t>。</w:t>
      </w:r>
    </w:p>
    <w:p>
      <w:pPr>
        <w:pBdr>
          <w:top w:val="none" w:color="000000" w:sz="0" w:space="0"/>
          <w:left w:val="none" w:color="000000" w:sz="0" w:space="0"/>
          <w:bottom w:val="none" w:color="000000" w:sz="0" w:space="0"/>
          <w:right w:val="none" w:color="000000" w:sz="0" w:space="0"/>
          <w:between w:val="none" w:color="000000" w:sz="0" w:space="0"/>
        </w:pBdr>
        <w:spacing w:before="163" w:after="120" w:line="360" w:lineRule="auto"/>
        <w:ind w:firstLine="480"/>
        <w:jc w:val="center"/>
        <w:rPr>
          <w:rFonts w:eastAsia="Calibri"/>
          <w:color w:val="auto"/>
          <w:sz w:val="24"/>
          <w:lang w:eastAsia="zh-CN"/>
        </w:rPr>
      </w:pPr>
      <w:r>
        <w:rPr>
          <w:rFonts w:ascii="Calibri" w:hAnsi="Calibri" w:eastAsia="Calibri" w:cs="宋体"/>
          <w:sz w:val="24"/>
          <w:lang w:eastAsia="zh-CN"/>
        </w:rPr>
        <w:drawing>
          <wp:inline distT="0" distB="0" distL="0" distR="0">
            <wp:extent cx="3350895" cy="2150745"/>
            <wp:effectExtent l="0" t="0" r="1905" b="1905"/>
            <wp:docPr id="519" name="图表 9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宋体"/>
          <w:b/>
          <w:sz w:val="24"/>
          <w:szCs w:val="24"/>
          <w:lang w:eastAsia="zh-CN"/>
        </w:rPr>
      </w:pPr>
      <w:bookmarkStart w:id="145" w:name="_Toc129867495"/>
      <w:r>
        <w:rPr>
          <w:rFonts w:hint="eastAsia" w:eastAsia="黑体"/>
          <w:b/>
          <w:sz w:val="21"/>
          <w:lang w:eastAsia="zh-CN"/>
        </w:rPr>
        <w:t>图4.</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图2-2-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4</w:t>
      </w:r>
      <w:r>
        <w:rPr>
          <w:rFonts w:eastAsia="黑体"/>
          <w:b/>
          <w:sz w:val="21"/>
          <w:lang w:eastAsia="zh-CN"/>
        </w:rPr>
        <w:fldChar w:fldCharType="end"/>
      </w:r>
      <w:r>
        <w:rPr>
          <w:rFonts w:hint="eastAsia" w:eastAsia="宋体"/>
          <w:b/>
          <w:sz w:val="24"/>
          <w:szCs w:val="24"/>
          <w:lang w:eastAsia="zh-CN"/>
        </w:rPr>
        <w:t xml:space="preserve">  2022届毕业生对就业机会的评价</w:t>
      </w:r>
      <w:bookmarkEnd w:id="145"/>
    </w:p>
    <w:p>
      <w:pPr>
        <w:rPr>
          <w:snapToGrid/>
          <w:sz w:val="21"/>
          <w:lang w:eastAsia="zh-CN"/>
        </w:rPr>
      </w:pPr>
      <w:r>
        <w:rPr>
          <w:rFonts w:hint="eastAsia" w:ascii="仿宋" w:hAnsi="仿宋"/>
          <w:sz w:val="21"/>
          <w:lang w:eastAsia="zh-CN"/>
        </w:rPr>
        <w:t>数据来源：北京新锦成教育技术有限公司</w:t>
      </w:r>
    </w:p>
    <w:p>
      <w:pPr>
        <w:ind w:firstLine="640"/>
        <w:rPr>
          <w:lang w:val="zh-CN" w:eastAsia="zh-CN"/>
        </w:rPr>
      </w:pPr>
      <w:r>
        <w:rPr>
          <w:rFonts w:hint="eastAsia"/>
          <w:lang w:val="zh-CN" w:eastAsia="zh-CN"/>
        </w:rPr>
        <w:t>43.34%</w:t>
      </w:r>
      <w:r>
        <w:rPr>
          <w:lang w:val="zh-CN" w:eastAsia="zh-CN"/>
        </w:rPr>
        <w:t>的</w:t>
      </w:r>
      <w:r>
        <w:rPr>
          <w:rFonts w:hint="eastAsia"/>
          <w:lang w:val="zh-CN" w:eastAsia="zh-CN"/>
        </w:rPr>
        <w:t>毕业生</w:t>
      </w:r>
      <w:r>
        <w:rPr>
          <w:lang w:val="zh-CN" w:eastAsia="zh-CN"/>
        </w:rPr>
        <w:t>认为所学专业</w:t>
      </w:r>
      <w:r>
        <w:rPr>
          <w:rFonts w:hint="eastAsia"/>
          <w:lang w:val="zh-CN" w:eastAsia="zh-CN"/>
        </w:rPr>
        <w:t>的</w:t>
      </w:r>
      <w:r>
        <w:rPr>
          <w:lang w:val="zh-CN" w:eastAsia="zh-CN"/>
        </w:rPr>
        <w:t>就业机会</w:t>
      </w:r>
      <w:r>
        <w:rPr>
          <w:rFonts w:hint="eastAsia"/>
          <w:lang w:val="zh-CN" w:eastAsia="zh-CN"/>
        </w:rPr>
        <w:t>“</w:t>
      </w:r>
      <w:r>
        <w:rPr>
          <w:lang w:val="zh-CN" w:eastAsia="zh-CN"/>
        </w:rPr>
        <w:t>较多</w:t>
      </w:r>
      <w:r>
        <w:rPr>
          <w:rFonts w:hint="eastAsia"/>
          <w:lang w:val="zh-CN" w:eastAsia="zh-CN"/>
        </w:rPr>
        <w:t>”，</w:t>
      </w:r>
      <w:r>
        <w:rPr>
          <w:lang w:val="zh-CN" w:eastAsia="zh-CN"/>
        </w:rPr>
        <w:t>全国高校2022届毕业生认为所学专业</w:t>
      </w:r>
      <w:r>
        <w:rPr>
          <w:rFonts w:hint="eastAsia"/>
          <w:lang w:val="zh-CN" w:eastAsia="zh-CN"/>
        </w:rPr>
        <w:t>的</w:t>
      </w:r>
      <w:r>
        <w:rPr>
          <w:lang w:val="zh-CN" w:eastAsia="zh-CN"/>
        </w:rPr>
        <w:t>就业机会</w:t>
      </w:r>
      <w:r>
        <w:rPr>
          <w:rFonts w:hint="eastAsia"/>
          <w:lang w:val="zh-CN" w:eastAsia="zh-CN"/>
        </w:rPr>
        <w:t>“</w:t>
      </w:r>
      <w:r>
        <w:rPr>
          <w:lang w:val="zh-CN" w:eastAsia="zh-CN"/>
        </w:rPr>
        <w:t>较多</w:t>
      </w:r>
      <w:r>
        <w:rPr>
          <w:rFonts w:hint="eastAsia"/>
          <w:lang w:val="zh-CN" w:eastAsia="zh-CN"/>
        </w:rPr>
        <w:t>”的占比为</w:t>
      </w:r>
      <w:r>
        <w:rPr>
          <w:lang w:val="zh-CN" w:eastAsia="zh-CN"/>
        </w:rPr>
        <w:t>50.07</w:t>
      </w:r>
      <w:r>
        <w:rPr>
          <w:rFonts w:hint="eastAsia"/>
          <w:lang w:val="zh-CN" w:eastAsia="zh-CN"/>
        </w:rPr>
        <w:t>%</w:t>
      </w:r>
      <w:r>
        <w:rPr>
          <w:lang w:val="zh-CN" w:eastAsia="zh-CN"/>
        </w:rPr>
        <w:t>。</w:t>
      </w:r>
    </w:p>
    <w:p>
      <w:pPr>
        <w:pBdr>
          <w:top w:val="none" w:color="000000" w:sz="0" w:space="0"/>
          <w:left w:val="none" w:color="000000" w:sz="0" w:space="0"/>
          <w:bottom w:val="none" w:color="000000" w:sz="0" w:space="0"/>
          <w:right w:val="none" w:color="000000" w:sz="0" w:space="0"/>
          <w:between w:val="none" w:color="000000" w:sz="0" w:space="0"/>
        </w:pBdr>
        <w:spacing w:before="163" w:after="163" w:line="360" w:lineRule="auto"/>
        <w:ind w:firstLine="480"/>
        <w:jc w:val="both"/>
        <w:rPr>
          <w:rFonts w:eastAsia="宋体"/>
          <w:color w:val="0F6FC6"/>
          <w:sz w:val="24"/>
          <w:szCs w:val="24"/>
          <w:lang w:val="zh-CN" w:eastAsia="zh-CN"/>
        </w:rPr>
      </w:pPr>
      <w:r>
        <w:rPr>
          <w:rFonts w:eastAsia="宋体"/>
          <w:sz w:val="24"/>
          <w:szCs w:val="24"/>
          <w:lang w:eastAsia="zh-CN"/>
        </w:rPr>
        <w:drawing>
          <wp:inline distT="0" distB="0" distL="0" distR="0">
            <wp:extent cx="5305425" cy="1828800"/>
            <wp:effectExtent l="0" t="0" r="0" b="0"/>
            <wp:docPr id="520" name="图表 5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bCs/>
          <w:sz w:val="21"/>
          <w:lang w:eastAsia="zh-CN"/>
        </w:rPr>
      </w:pPr>
      <w:bookmarkStart w:id="146" w:name="_Toc129867496"/>
      <w:r>
        <w:rPr>
          <w:rFonts w:hint="eastAsia" w:eastAsia="黑体"/>
          <w:b/>
          <w:sz w:val="21"/>
          <w:lang w:eastAsia="zh-CN"/>
        </w:rPr>
        <w:t>图4.</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图2-2-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5</w:t>
      </w:r>
      <w:r>
        <w:rPr>
          <w:rFonts w:eastAsia="黑体"/>
          <w:b/>
          <w:sz w:val="21"/>
          <w:lang w:eastAsia="zh-CN"/>
        </w:rPr>
        <w:fldChar w:fldCharType="end"/>
      </w:r>
      <w:r>
        <w:rPr>
          <w:rFonts w:eastAsia="黑体"/>
          <w:b/>
          <w:sz w:val="21"/>
          <w:lang w:eastAsia="zh-CN"/>
        </w:rPr>
        <w:t xml:space="preserve">  2020-2022届</w:t>
      </w:r>
      <w:r>
        <w:rPr>
          <w:rFonts w:hint="eastAsia" w:eastAsia="黑体"/>
          <w:b/>
          <w:bCs/>
          <w:sz w:val="21"/>
          <w:lang w:eastAsia="zh-CN"/>
        </w:rPr>
        <w:t>毕业生就业机会对比分析</w:t>
      </w:r>
      <w:bookmarkEnd w:id="146"/>
    </w:p>
    <w:p>
      <w:pPr>
        <w:rPr>
          <w:snapToGrid/>
          <w:sz w:val="21"/>
          <w:lang w:eastAsia="zh-CN"/>
        </w:rPr>
      </w:pPr>
      <w:r>
        <w:rPr>
          <w:rFonts w:hint="eastAsia" w:ascii="仿宋" w:hAnsi="仿宋"/>
          <w:sz w:val="21"/>
          <w:lang w:eastAsia="zh-CN"/>
        </w:rPr>
        <w:t>数据来源：北京新锦成教育技术有限公司</w:t>
      </w:r>
    </w:p>
    <w:p>
      <w:pPr>
        <w:pStyle w:val="3"/>
        <w:ind w:firstLine="643"/>
        <w:rPr>
          <w:lang w:val="zh-CN" w:eastAsia="zh-CN"/>
        </w:rPr>
      </w:pPr>
      <w:bookmarkStart w:id="147" w:name="_Toc151887749"/>
      <w:r>
        <w:rPr>
          <w:rFonts w:hint="eastAsia"/>
          <w:lang w:val="zh-CN" w:eastAsia="zh-CN"/>
        </w:rPr>
        <w:t>（一）</w:t>
      </w:r>
      <w:r>
        <w:rPr>
          <w:lang w:val="zh-CN" w:eastAsia="zh-CN"/>
        </w:rPr>
        <w:t>各</w:t>
      </w:r>
      <w:r>
        <w:rPr>
          <w:rFonts w:hint="eastAsia"/>
          <w:lang w:val="zh-CN" w:eastAsia="zh-CN"/>
        </w:rPr>
        <w:t>学院就业机会充分度</w:t>
      </w:r>
      <w:bookmarkEnd w:id="147"/>
    </w:p>
    <w:p>
      <w:pPr>
        <w:ind w:firstLine="640"/>
        <w:rPr>
          <w:lang w:eastAsia="zh-CN"/>
        </w:rPr>
      </w:pPr>
      <w:r>
        <w:rPr>
          <w:rFonts w:hint="eastAsia"/>
          <w:lang w:eastAsia="zh-CN"/>
        </w:rPr>
        <w:t>各学院</w:t>
      </w:r>
      <w:r>
        <w:rPr>
          <w:lang w:eastAsia="zh-CN"/>
        </w:rPr>
        <w:t>就业机会</w:t>
      </w:r>
      <w:r>
        <w:rPr>
          <w:rFonts w:hint="eastAsia"/>
          <w:lang w:eastAsia="zh-CN"/>
        </w:rPr>
        <w:t>充分度</w:t>
      </w:r>
      <w:r>
        <w:rPr>
          <w:lang w:eastAsia="zh-CN"/>
        </w:rPr>
        <w:t>：2022届毕业生认为就业机会“较多”</w:t>
      </w:r>
      <w:r>
        <w:rPr>
          <w:rFonts w:hint="eastAsia"/>
          <w:lang w:eastAsia="zh-CN"/>
        </w:rPr>
        <w:t>比例最高的是“国际护理学院”（59.10%）</w:t>
      </w:r>
      <w:r>
        <w:rPr>
          <w:lang w:eastAsia="zh-CN"/>
        </w:rPr>
        <w:t>。</w:t>
      </w:r>
    </w:p>
    <w:p>
      <w:pPr>
        <w:pBdr>
          <w:top w:val="none" w:color="000000" w:sz="0" w:space="0"/>
          <w:left w:val="none" w:color="000000" w:sz="0" w:space="0"/>
          <w:bottom w:val="none" w:color="000000" w:sz="0" w:space="0"/>
          <w:right w:val="none" w:color="000000" w:sz="0" w:space="0"/>
          <w:between w:val="none" w:color="000000" w:sz="0" w:space="0"/>
        </w:pBdr>
        <w:spacing w:after="50"/>
        <w:jc w:val="center"/>
        <w:rPr>
          <w:rFonts w:eastAsia="黑体" w:cs="Calibri"/>
          <w:caps/>
          <w:color w:val="0F6FC6"/>
          <w:sz w:val="21"/>
          <w:szCs w:val="20"/>
          <w:lang w:eastAsia="zh-CN"/>
        </w:rPr>
      </w:pPr>
      <w:r>
        <w:rPr>
          <w:rFonts w:eastAsia="黑体" w:cs="Calibri"/>
          <w:caps/>
          <w:sz w:val="21"/>
          <w:szCs w:val="20"/>
          <w:lang w:eastAsia="zh-CN"/>
        </w:rPr>
        <w:drawing>
          <wp:anchor distT="0" distB="0" distL="114300" distR="114300" simplePos="0" relativeHeight="251665408" behindDoc="0" locked="0" layoutInCell="1" allowOverlap="1">
            <wp:simplePos x="0" y="0"/>
            <wp:positionH relativeFrom="column">
              <wp:posOffset>565785</wp:posOffset>
            </wp:positionH>
            <wp:positionV relativeFrom="paragraph">
              <wp:posOffset>26670</wp:posOffset>
            </wp:positionV>
            <wp:extent cx="5078730" cy="2820670"/>
            <wp:effectExtent l="0" t="0" r="8255" b="18415"/>
            <wp:wrapNone/>
            <wp:docPr id="521" name="图表 9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p>
    <w:p>
      <w:pPr>
        <w:pBdr>
          <w:top w:val="none" w:color="000000" w:sz="0" w:space="0"/>
          <w:left w:val="none" w:color="000000" w:sz="0" w:space="0"/>
          <w:bottom w:val="none" w:color="000000" w:sz="0" w:space="0"/>
          <w:right w:val="none" w:color="000000" w:sz="0" w:space="0"/>
          <w:between w:val="none" w:color="000000" w:sz="0" w:space="0"/>
        </w:pBdr>
        <w:spacing w:before="120" w:after="120" w:line="360" w:lineRule="auto"/>
        <w:ind w:firstLine="422"/>
        <w:jc w:val="center"/>
        <w:rPr>
          <w:rFonts w:eastAsia="黑体"/>
          <w:b/>
          <w:caps/>
          <w:sz w:val="21"/>
          <w:szCs w:val="36"/>
          <w:lang w:val="zh-CN" w:eastAsia="zh-CN"/>
        </w:rPr>
      </w:pPr>
    </w:p>
    <w:p>
      <w:pPr>
        <w:pBdr>
          <w:top w:val="none" w:color="000000" w:sz="0" w:space="0"/>
          <w:left w:val="none" w:color="000000" w:sz="0" w:space="0"/>
          <w:bottom w:val="none" w:color="000000" w:sz="0" w:space="0"/>
          <w:right w:val="none" w:color="000000" w:sz="0" w:space="0"/>
          <w:between w:val="none" w:color="000000" w:sz="0" w:space="0"/>
        </w:pBdr>
        <w:spacing w:before="120" w:after="120" w:line="360" w:lineRule="auto"/>
        <w:ind w:firstLine="422"/>
        <w:jc w:val="center"/>
        <w:rPr>
          <w:rFonts w:eastAsia="黑体"/>
          <w:b/>
          <w:caps/>
          <w:sz w:val="21"/>
          <w:szCs w:val="36"/>
          <w:lang w:val="zh-CN" w:eastAsia="zh-CN"/>
        </w:rPr>
      </w:pPr>
    </w:p>
    <w:p>
      <w:pPr>
        <w:pBdr>
          <w:top w:val="none" w:color="000000" w:sz="0" w:space="0"/>
          <w:left w:val="none" w:color="000000" w:sz="0" w:space="0"/>
          <w:bottom w:val="none" w:color="000000" w:sz="0" w:space="0"/>
          <w:right w:val="none" w:color="000000" w:sz="0" w:space="0"/>
          <w:between w:val="none" w:color="000000" w:sz="0" w:space="0"/>
        </w:pBdr>
        <w:spacing w:before="120" w:after="120" w:line="360" w:lineRule="auto"/>
        <w:ind w:firstLine="422"/>
        <w:jc w:val="center"/>
        <w:rPr>
          <w:rFonts w:eastAsia="黑体"/>
          <w:b/>
          <w:caps/>
          <w:sz w:val="21"/>
          <w:szCs w:val="36"/>
          <w:lang w:val="zh-CN" w:eastAsia="zh-CN"/>
        </w:rPr>
      </w:pPr>
    </w:p>
    <w:p>
      <w:pPr>
        <w:pBdr>
          <w:top w:val="none" w:color="000000" w:sz="0" w:space="0"/>
          <w:left w:val="none" w:color="000000" w:sz="0" w:space="0"/>
          <w:bottom w:val="none" w:color="000000" w:sz="0" w:space="0"/>
          <w:right w:val="none" w:color="000000" w:sz="0" w:space="0"/>
          <w:between w:val="none" w:color="000000" w:sz="0" w:space="0"/>
        </w:pBdr>
        <w:spacing w:before="120" w:after="120" w:line="360" w:lineRule="auto"/>
        <w:ind w:firstLine="422"/>
        <w:jc w:val="center"/>
        <w:rPr>
          <w:rFonts w:eastAsia="黑体"/>
          <w:b/>
          <w:caps/>
          <w:sz w:val="21"/>
          <w:szCs w:val="36"/>
          <w:lang w:val="zh-CN" w:eastAsia="zh-CN"/>
        </w:rPr>
      </w:pPr>
    </w:p>
    <w:p>
      <w:pPr>
        <w:pBdr>
          <w:top w:val="none" w:color="000000" w:sz="0" w:space="0"/>
          <w:left w:val="none" w:color="000000" w:sz="0" w:space="0"/>
          <w:bottom w:val="none" w:color="000000" w:sz="0" w:space="0"/>
          <w:right w:val="none" w:color="000000" w:sz="0" w:space="0"/>
          <w:between w:val="none" w:color="000000" w:sz="0" w:space="0"/>
        </w:pBdr>
        <w:spacing w:before="120" w:after="120" w:line="360" w:lineRule="auto"/>
        <w:ind w:firstLine="422"/>
        <w:jc w:val="center"/>
        <w:rPr>
          <w:rFonts w:eastAsia="黑体"/>
          <w:b/>
          <w:caps/>
          <w:sz w:val="21"/>
          <w:szCs w:val="36"/>
          <w:lang w:val="zh-CN" w:eastAsia="zh-CN"/>
        </w:rPr>
      </w:pPr>
    </w:p>
    <w:p>
      <w:pPr>
        <w:pBdr>
          <w:top w:val="none" w:color="000000" w:sz="0" w:space="0"/>
          <w:left w:val="none" w:color="000000" w:sz="0" w:space="0"/>
          <w:bottom w:val="none" w:color="000000" w:sz="0" w:space="0"/>
          <w:right w:val="none" w:color="000000" w:sz="0" w:space="0"/>
          <w:between w:val="none" w:color="000000" w:sz="0" w:space="0"/>
        </w:pBdr>
        <w:spacing w:before="120" w:after="120" w:line="360" w:lineRule="auto"/>
        <w:ind w:firstLine="422"/>
        <w:jc w:val="center"/>
        <w:rPr>
          <w:rFonts w:eastAsia="黑体"/>
          <w:b/>
          <w:caps/>
          <w:sz w:val="21"/>
          <w:szCs w:val="36"/>
          <w:lang w:val="zh-CN" w:eastAsia="zh-CN"/>
        </w:rPr>
      </w:pPr>
    </w:p>
    <w:p>
      <w:pPr>
        <w:pBdr>
          <w:top w:val="none" w:color="000000" w:sz="0" w:space="0"/>
          <w:left w:val="none" w:color="000000" w:sz="0" w:space="0"/>
          <w:bottom w:val="none" w:color="000000" w:sz="0" w:space="0"/>
          <w:right w:val="none" w:color="000000" w:sz="0" w:space="0"/>
          <w:between w:val="none" w:color="000000" w:sz="0" w:space="0"/>
        </w:pBdr>
        <w:spacing w:before="120" w:after="120" w:line="360" w:lineRule="auto"/>
        <w:ind w:firstLine="422"/>
        <w:jc w:val="center"/>
        <w:rPr>
          <w:rFonts w:eastAsia="黑体"/>
          <w:b/>
          <w:caps/>
          <w:sz w:val="21"/>
          <w:szCs w:val="36"/>
          <w:lang w:val="zh-CN" w:eastAsia="zh-CN"/>
        </w:rPr>
      </w:pPr>
    </w:p>
    <w:p>
      <w:pPr>
        <w:pBdr>
          <w:top w:val="none" w:color="000000" w:sz="0" w:space="0"/>
          <w:left w:val="none" w:color="000000" w:sz="0" w:space="0"/>
          <w:bottom w:val="none" w:color="000000" w:sz="0" w:space="0"/>
          <w:right w:val="none" w:color="000000" w:sz="0" w:space="0"/>
          <w:between w:val="none" w:color="000000" w:sz="0" w:space="0"/>
        </w:pBdr>
        <w:spacing w:before="120" w:after="120" w:line="360" w:lineRule="auto"/>
        <w:ind w:firstLine="0" w:firstLineChars="0"/>
        <w:rPr>
          <w:rFonts w:eastAsia="黑体"/>
          <w:b/>
          <w:caps/>
          <w:sz w:val="21"/>
          <w:szCs w:val="36"/>
          <w:lang w:val="zh-CN" w:eastAsia="zh-CN"/>
        </w:rPr>
      </w:pPr>
    </w:p>
    <w:p>
      <w:pPr>
        <w:pBdr>
          <w:top w:val="none" w:color="000000" w:sz="0" w:space="0"/>
          <w:left w:val="none" w:color="000000" w:sz="0" w:space="0"/>
          <w:bottom w:val="none" w:color="000000" w:sz="0" w:space="0"/>
          <w:right w:val="none" w:color="000000" w:sz="0" w:space="0"/>
          <w:between w:val="none" w:color="000000" w:sz="0" w:space="0"/>
        </w:pBdr>
        <w:spacing w:before="120" w:after="120" w:line="360" w:lineRule="auto"/>
        <w:ind w:firstLine="422"/>
        <w:jc w:val="center"/>
        <w:rPr>
          <w:rFonts w:eastAsia="黑体"/>
          <w:b/>
          <w:caps/>
          <w:sz w:val="21"/>
          <w:szCs w:val="36"/>
          <w:lang w:val="zh-CN" w:eastAsia="zh-CN"/>
        </w:rPr>
      </w:pPr>
      <w:r>
        <w:rPr>
          <w:rFonts w:hint="eastAsia" w:eastAsia="黑体"/>
          <w:b/>
          <w:caps/>
          <w:sz w:val="21"/>
          <w:szCs w:val="36"/>
          <w:lang w:val="zh-CN" w:eastAsia="zh-CN"/>
        </w:rPr>
        <w:t>图</w:t>
      </w:r>
      <w:r>
        <w:rPr>
          <w:rFonts w:hint="eastAsia" w:eastAsia="黑体"/>
          <w:b/>
          <w:caps/>
          <w:sz w:val="21"/>
          <w:szCs w:val="36"/>
          <w:lang w:eastAsia="zh-CN"/>
        </w:rPr>
        <w:t>4.</w:t>
      </w:r>
      <w:r>
        <w:rPr>
          <w:rFonts w:eastAsia="黑体"/>
          <w:b/>
          <w:caps/>
          <w:sz w:val="21"/>
          <w:szCs w:val="36"/>
          <w:lang w:val="zh-CN" w:eastAsia="zh-CN"/>
        </w:rPr>
        <w:fldChar w:fldCharType="begin"/>
      </w:r>
      <w:r>
        <w:rPr>
          <w:rFonts w:eastAsia="黑体"/>
          <w:b/>
          <w:caps/>
          <w:sz w:val="21"/>
          <w:szCs w:val="36"/>
          <w:lang w:val="zh-CN" w:eastAsia="zh-CN"/>
        </w:rPr>
        <w:instrText xml:space="preserve"> </w:instrText>
      </w:r>
      <w:r>
        <w:rPr>
          <w:rFonts w:hint="eastAsia" w:eastAsia="黑体"/>
          <w:b/>
          <w:caps/>
          <w:sz w:val="21"/>
          <w:szCs w:val="36"/>
          <w:lang w:val="zh-CN" w:eastAsia="zh-CN"/>
        </w:rPr>
        <w:instrText xml:space="preserve">SEQ 图2-2- \* ARABIC</w:instrText>
      </w:r>
      <w:r>
        <w:rPr>
          <w:rFonts w:eastAsia="黑体"/>
          <w:b/>
          <w:caps/>
          <w:sz w:val="21"/>
          <w:szCs w:val="36"/>
          <w:lang w:val="zh-CN" w:eastAsia="zh-CN"/>
        </w:rPr>
        <w:instrText xml:space="preserve"> </w:instrText>
      </w:r>
      <w:r>
        <w:rPr>
          <w:rFonts w:eastAsia="黑体"/>
          <w:b/>
          <w:caps/>
          <w:sz w:val="21"/>
          <w:szCs w:val="36"/>
          <w:lang w:val="zh-CN" w:eastAsia="zh-CN"/>
        </w:rPr>
        <w:fldChar w:fldCharType="separate"/>
      </w:r>
      <w:r>
        <w:rPr>
          <w:rFonts w:eastAsia="黑体"/>
          <w:b/>
          <w:caps/>
          <w:sz w:val="21"/>
          <w:szCs w:val="36"/>
          <w:lang w:val="zh-CN" w:eastAsia="zh-CN"/>
        </w:rPr>
        <w:t>6</w:t>
      </w:r>
      <w:r>
        <w:rPr>
          <w:rFonts w:eastAsia="黑体"/>
          <w:b/>
          <w:caps/>
          <w:sz w:val="21"/>
          <w:szCs w:val="36"/>
          <w:lang w:val="zh-CN" w:eastAsia="zh-CN"/>
        </w:rPr>
        <w:fldChar w:fldCharType="end"/>
      </w:r>
      <w:r>
        <w:rPr>
          <w:rFonts w:hint="eastAsia" w:eastAsia="宋体"/>
          <w:b/>
          <w:caps/>
          <w:sz w:val="24"/>
          <w:szCs w:val="24"/>
          <w:lang w:eastAsia="zh-CN"/>
        </w:rPr>
        <w:t xml:space="preserve"> </w:t>
      </w:r>
      <w:r>
        <w:rPr>
          <w:rFonts w:hint="eastAsia" w:eastAsia="黑体"/>
          <w:b/>
          <w:caps/>
          <w:sz w:val="21"/>
          <w:szCs w:val="36"/>
          <w:lang w:val="zh-CN" w:eastAsia="zh-CN"/>
        </w:rPr>
        <w:t xml:space="preserve"> 2022届各学院毕业生对就业机会的评价</w:t>
      </w:r>
    </w:p>
    <w:p>
      <w:pPr>
        <w:rPr>
          <w:snapToGrid/>
          <w:sz w:val="21"/>
          <w:lang w:eastAsia="zh-CN"/>
        </w:rPr>
      </w:pPr>
      <w:r>
        <w:rPr>
          <w:rFonts w:hint="eastAsia" w:ascii="仿宋" w:hAnsi="仿宋"/>
          <w:sz w:val="21"/>
          <w:lang w:eastAsia="zh-CN"/>
        </w:rPr>
        <w:t>数据来源：北京新锦成教育技术有限公司</w:t>
      </w:r>
    </w:p>
    <w:p>
      <w:pPr>
        <w:pStyle w:val="3"/>
        <w:ind w:firstLine="643"/>
        <w:rPr>
          <w:lang w:val="zh-CN" w:eastAsia="zh-CN"/>
        </w:rPr>
      </w:pPr>
      <w:bookmarkStart w:id="148" w:name="_Toc151887750"/>
      <w:r>
        <w:rPr>
          <w:rFonts w:hint="eastAsia"/>
          <w:lang w:val="zh-CN" w:eastAsia="zh-CN"/>
        </w:rPr>
        <w:t>（二）</w:t>
      </w:r>
      <w:r>
        <w:rPr>
          <w:lang w:val="zh-CN" w:eastAsia="zh-CN"/>
        </w:rPr>
        <w:t>各</w:t>
      </w:r>
      <w:r>
        <w:rPr>
          <w:rFonts w:hint="eastAsia"/>
          <w:lang w:val="zh-CN" w:eastAsia="zh-CN"/>
        </w:rPr>
        <w:t>专业就业机会充分度</w:t>
      </w:r>
      <w:bookmarkEnd w:id="148"/>
    </w:p>
    <w:p>
      <w:pPr>
        <w:ind w:firstLine="640"/>
        <w:rPr>
          <w:lang w:eastAsia="zh-CN"/>
        </w:rPr>
      </w:pPr>
      <w:r>
        <w:rPr>
          <w:rFonts w:hint="eastAsia"/>
          <w:lang w:eastAsia="zh-CN"/>
        </w:rPr>
        <w:t>各</w:t>
      </w:r>
      <w:r>
        <w:rPr>
          <w:lang w:eastAsia="zh-CN"/>
        </w:rPr>
        <w:t>专业就业机会</w:t>
      </w:r>
      <w:r>
        <w:rPr>
          <w:rFonts w:hint="eastAsia"/>
          <w:lang w:eastAsia="zh-CN"/>
        </w:rPr>
        <w:t>充分度</w:t>
      </w:r>
      <w:r>
        <w:rPr>
          <w:lang w:eastAsia="zh-CN"/>
        </w:rPr>
        <w:t>：</w:t>
      </w:r>
      <w:r>
        <w:rPr>
          <w:rFonts w:hint="eastAsia"/>
          <w:lang w:eastAsia="zh-CN"/>
        </w:rPr>
        <w:t>“机械设计与制造”</w:t>
      </w:r>
      <w:r>
        <w:rPr>
          <w:lang w:eastAsia="zh-CN"/>
        </w:rPr>
        <w:t>专业</w:t>
      </w:r>
      <w:r>
        <w:rPr>
          <w:rFonts w:hint="eastAsia"/>
          <w:lang w:eastAsia="zh-CN"/>
        </w:rPr>
        <w:t>的毕业生认为就业机会“较多”的比例为77.78%，而“社区康复”专业的毕业生认为本专业就业机会“较多”的比例为4.17%。</w:t>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149" w:name="_Toc129867497"/>
      <w:r>
        <w:rPr>
          <w:rFonts w:hint="eastAsia" w:eastAsia="黑体"/>
          <w:b/>
          <w:sz w:val="21"/>
          <w:lang w:eastAsia="zh-CN"/>
        </w:rPr>
        <w:t xml:space="preserve">表4. </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表2-2-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4</w:t>
      </w:r>
      <w:r>
        <w:rPr>
          <w:rFonts w:eastAsia="黑体"/>
          <w:b/>
          <w:sz w:val="21"/>
          <w:lang w:eastAsia="zh-CN"/>
        </w:rPr>
        <w:fldChar w:fldCharType="end"/>
      </w:r>
      <w:r>
        <w:rPr>
          <w:rFonts w:eastAsia="黑体"/>
          <w:b/>
          <w:sz w:val="21"/>
          <w:lang w:eastAsia="zh-CN"/>
        </w:rPr>
        <w:t xml:space="preserve">  </w:t>
      </w:r>
      <w:r>
        <w:rPr>
          <w:rFonts w:hint="eastAsia" w:eastAsia="黑体"/>
          <w:b/>
          <w:sz w:val="21"/>
          <w:lang w:eastAsia="zh-CN"/>
        </w:rPr>
        <w:t>2022届各专业毕业生对就业机会的评价</w:t>
      </w:r>
      <w:bookmarkEnd w:id="149"/>
    </w:p>
    <w:tbl>
      <w:tblPr>
        <w:tblStyle w:val="30"/>
        <w:tblW w:w="5000" w:type="pct"/>
        <w:jc w:val="cente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5107"/>
        <w:gridCol w:w="1562"/>
        <w:gridCol w:w="1562"/>
        <w:gridCol w:w="1731"/>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jc w:val="center"/>
        </w:trPr>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cs="微软雅黑"/>
                <w:b/>
                <w:bCs/>
                <w:snapToGrid/>
                <w:color w:val="CCE8CF"/>
                <w:sz w:val="21"/>
                <w:lang w:eastAsia="zh-CN"/>
              </w:rPr>
              <w:t>专业</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cs="微软雅黑"/>
                <w:b/>
                <w:bCs/>
                <w:snapToGrid/>
                <w:color w:val="CCE8CF"/>
                <w:sz w:val="21"/>
                <w:lang w:eastAsia="zh-CN"/>
              </w:rPr>
              <w:t>较多</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cs="微软雅黑"/>
                <w:b/>
                <w:bCs/>
                <w:snapToGrid/>
                <w:color w:val="CCE8CF"/>
                <w:sz w:val="21"/>
                <w:lang w:eastAsia="zh-CN"/>
              </w:rPr>
              <w:t>一般</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cs="微软雅黑"/>
                <w:b/>
                <w:bCs/>
                <w:snapToGrid/>
                <w:color w:val="CCE8CF"/>
                <w:sz w:val="21"/>
                <w:lang w:eastAsia="zh-CN"/>
              </w:rPr>
              <w:t>较少</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机械设计与制造</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77.78%</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22.22%</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汽车检测与维修技术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62.96%</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25.93%</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11.11%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护理</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59.56%</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32.24%</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8.20%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轮机工程技术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57.14%</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14.29%</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28.57%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机电一体化技术</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57.14%</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42.86%</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口腔医学技术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55.56%</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27.08%</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17.36%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新能源汽车技术</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55.22%</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34.33%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10.45%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酒店管理</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54.55%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45.45%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金融管理</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40.91%</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9.09%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机电一体化技术（中高职转段）</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44.44%</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5.56%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物流管理</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47.62%</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38.10%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14.29%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助产</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46.15%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38.46%</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15.38%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计算机网络技术</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45.45%</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45.45%</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9.09%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中药学</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44.59%</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35.14%</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20.27%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石油化工技术</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43.48%</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56.52%</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建筑工程技术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41.18%</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52.94%</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5.88%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工程造价</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40.43%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34.04%</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25.53%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工业机器人技术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60.00%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市场营销</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艺术设计</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38.89%</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55.56%</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5.56%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大数据技术与应用</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33.33%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25.00%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41.67%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机械设计与制造（中高职转段）</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33.33%</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57.14%</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9.52%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软件技术</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33.33%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55.56%</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11.11%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工商企业管理</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31.43%</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57.14%</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11.43%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烹调工艺与营养</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30.77%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61.54%</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7.69%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会计</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26.76%</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53.52%</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19.72%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航海技术</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26.67%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36.67%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36.67%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电气自动化技术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26.32%</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52.63%</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21.05%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建筑装饰工程技术</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26.32%</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42.11%</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31.58%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药品生产技术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26.09%</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69.57%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4.35%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建筑设计</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23.08%</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61.54%</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15.38%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风景园林设计</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21.43%</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28.57%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食品营养与检测</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20.59%</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76.47%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2.94%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环境艺术设计</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60.00%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音乐表演</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18.18%</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63.64%</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18.18%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传播与策划</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18.18%</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72.73%</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9.09%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旅游管理</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16.67%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55.56%</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27.78%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健康管理</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14.29%</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37.14%</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48.57%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国际邮轮乘务管理</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11.11%</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44.44%</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44.44%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智能控制技术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7.69%</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76.92%</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15.38%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社区康复</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4.17%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58.33%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37.50%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电子商务</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*33.33%</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*33.33%</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*33.33%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体育运营与管理</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*25.00%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*75.00%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水路运输与海事管理</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*16.67%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*66.67%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*16.67%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bCs/>
                <w:snapToGrid/>
                <w:sz w:val="21"/>
                <w:lang w:eastAsia="zh-CN"/>
              </w:rPr>
            </w:pPr>
            <w:r>
              <w:rPr>
                <w:rFonts w:hint="eastAsia" w:eastAsia="宋体"/>
                <w:b/>
                <w:bCs/>
                <w:snapToGrid/>
                <w:sz w:val="21"/>
                <w:lang w:eastAsia="zh-CN"/>
              </w:rPr>
              <w:t>移动通信技术</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*100.00%</w:t>
            </w:r>
          </w:p>
        </w:tc>
      </w:tr>
    </w:tbl>
    <w:p>
      <w:pPr>
        <w:pBdr>
          <w:top w:val="none" w:color="000000" w:sz="0" w:space="0"/>
          <w:left w:val="none" w:color="000000" w:sz="0" w:space="0"/>
          <w:bottom w:val="none" w:color="000000" w:sz="0" w:space="0"/>
          <w:right w:val="none" w:color="000000" w:sz="0" w:space="0"/>
          <w:between w:val="none" w:color="000000" w:sz="0" w:space="0"/>
        </w:pBdr>
        <w:spacing w:after="120" w:afterLines="50"/>
        <w:jc w:val="both"/>
        <w:rPr>
          <w:rFonts w:eastAsia="黑体"/>
          <w:sz w:val="21"/>
          <w:szCs w:val="20"/>
          <w:lang w:eastAsia="zh-CN"/>
        </w:rPr>
      </w:pPr>
      <w:r>
        <w:rPr>
          <w:rFonts w:eastAsia="黑体"/>
          <w:sz w:val="21"/>
          <w:szCs w:val="20"/>
          <w:lang w:eastAsia="zh-CN"/>
        </w:rPr>
        <w:t>注：</w:t>
      </w:r>
      <w:r>
        <w:rPr>
          <w:rFonts w:hint="eastAsia" w:eastAsia="黑体"/>
          <w:sz w:val="21"/>
          <w:szCs w:val="20"/>
          <w:lang w:eastAsia="zh-CN"/>
        </w:rPr>
        <w:t>*</w:t>
      </w:r>
      <w:r>
        <w:rPr>
          <w:rFonts w:eastAsia="黑体"/>
          <w:sz w:val="21"/>
          <w:szCs w:val="20"/>
          <w:lang w:eastAsia="zh-CN"/>
        </w:rPr>
        <w:t>专业样本量较小，其分析结果仅供参考，不纳入到报告结论的分析范畴。</w:t>
      </w:r>
    </w:p>
    <w:p>
      <w:pPr>
        <w:rPr>
          <w:snapToGrid/>
          <w:sz w:val="21"/>
          <w:lang w:eastAsia="zh-CN"/>
        </w:rPr>
      </w:pPr>
      <w:r>
        <w:rPr>
          <w:rFonts w:hint="eastAsia" w:ascii="仿宋" w:hAnsi="仿宋"/>
          <w:sz w:val="21"/>
          <w:lang w:eastAsia="zh-CN"/>
        </w:rPr>
        <w:t>数据来源：北京新锦成教育技术有限公司</w:t>
      </w:r>
    </w:p>
    <w:p>
      <w:pPr>
        <w:ind w:firstLine="640"/>
        <w:rPr>
          <w:lang w:eastAsia="zh-CN"/>
        </w:rPr>
      </w:pPr>
      <w:r>
        <w:rPr>
          <w:rFonts w:hint="eastAsia"/>
          <w:lang w:eastAsia="zh-CN"/>
        </w:rPr>
        <w:t>毕业生就业机会少的原因</w:t>
      </w:r>
      <w:r>
        <w:rPr>
          <w:lang w:eastAsia="zh-CN"/>
        </w:rPr>
        <w:t>：2022届</w:t>
      </w:r>
      <w:r>
        <w:rPr>
          <w:rFonts w:hint="eastAsia"/>
          <w:lang w:eastAsia="zh-CN"/>
        </w:rPr>
        <w:t>毕业生认为就业机会少的原因主要是“本专业就业面窄，市场需求较少”，占比为43.90%；其次是“受大环境影响，专业相关行业发展不景气”，占比为38.05%。</w:t>
      </w:r>
    </w:p>
    <w:p>
      <w:pPr>
        <w:pBdr>
          <w:top w:val="none" w:color="000000" w:sz="0" w:space="0"/>
          <w:left w:val="none" w:color="000000" w:sz="0" w:space="0"/>
          <w:bottom w:val="none" w:color="000000" w:sz="0" w:space="0"/>
          <w:right w:val="none" w:color="000000" w:sz="0" w:space="0"/>
          <w:between w:val="none" w:color="000000" w:sz="0" w:space="0"/>
        </w:pBdr>
        <w:ind w:firstLine="360"/>
        <w:rPr>
          <w:rFonts w:eastAsia="Calibri" w:cs="Calibri"/>
          <w:caps/>
          <w:sz w:val="18"/>
          <w:szCs w:val="20"/>
          <w:lang w:eastAsia="zh-CN"/>
        </w:rPr>
      </w:pPr>
      <w:r>
        <w:rPr>
          <w:rFonts w:eastAsia="Calibri" w:cs="Calibri"/>
          <w:caps/>
          <w:sz w:val="18"/>
          <w:szCs w:val="20"/>
          <w:lang w:eastAsia="zh-CN"/>
        </w:rPr>
        <w:drawing>
          <wp:anchor distT="0" distB="0" distL="114300" distR="114300" simplePos="0" relativeHeight="251666432" behindDoc="0" locked="0" layoutInCell="1" allowOverlap="1">
            <wp:simplePos x="0" y="0"/>
            <wp:positionH relativeFrom="column">
              <wp:posOffset>403860</wp:posOffset>
            </wp:positionH>
            <wp:positionV relativeFrom="paragraph">
              <wp:posOffset>107950</wp:posOffset>
            </wp:positionV>
            <wp:extent cx="5562600" cy="2011680"/>
            <wp:effectExtent l="0" t="0" r="0" b="7620"/>
            <wp:wrapNone/>
            <wp:docPr id="522" name="图表 5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150" w:name="_Toc129867499"/>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r>
        <w:rPr>
          <w:rFonts w:hint="eastAsia" w:eastAsia="黑体"/>
          <w:b/>
          <w:sz w:val="21"/>
          <w:lang w:eastAsia="zh-CN"/>
        </w:rPr>
        <w:t>图4.</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图2-2-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7</w:t>
      </w:r>
      <w:r>
        <w:rPr>
          <w:rFonts w:eastAsia="黑体"/>
          <w:b/>
          <w:sz w:val="21"/>
          <w:lang w:eastAsia="zh-CN"/>
        </w:rPr>
        <w:fldChar w:fldCharType="end"/>
      </w:r>
      <w:r>
        <w:rPr>
          <w:rFonts w:hint="eastAsia" w:eastAsia="黑体"/>
          <w:b/>
          <w:sz w:val="21"/>
          <w:lang w:eastAsia="zh-CN"/>
        </w:rPr>
        <w:t xml:space="preserve">  </w:t>
      </w:r>
      <w:r>
        <w:rPr>
          <w:rFonts w:eastAsia="黑体"/>
          <w:b/>
          <w:sz w:val="21"/>
          <w:lang w:eastAsia="zh-CN"/>
        </w:rPr>
        <w:t>2022届</w:t>
      </w:r>
      <w:r>
        <w:rPr>
          <w:rFonts w:hint="eastAsia" w:eastAsia="黑体"/>
          <w:b/>
          <w:sz w:val="21"/>
          <w:lang w:eastAsia="zh-CN"/>
        </w:rPr>
        <w:t>毕业生认为就业机会少的原因分析</w:t>
      </w:r>
      <w:bookmarkEnd w:id="150"/>
    </w:p>
    <w:p>
      <w:pPr>
        <w:pBdr>
          <w:top w:val="none" w:color="000000" w:sz="0" w:space="0"/>
          <w:left w:val="none" w:color="000000" w:sz="0" w:space="0"/>
          <w:bottom w:val="none" w:color="000000" w:sz="0" w:space="0"/>
          <w:right w:val="none" w:color="000000" w:sz="0" w:space="0"/>
          <w:between w:val="none" w:color="000000" w:sz="0" w:space="0"/>
        </w:pBdr>
        <w:spacing w:after="120" w:afterLines="50"/>
        <w:jc w:val="both"/>
        <w:rPr>
          <w:rFonts w:eastAsia="黑体"/>
          <w:sz w:val="21"/>
          <w:szCs w:val="20"/>
          <w:lang w:eastAsia="zh-CN"/>
        </w:rPr>
      </w:pPr>
      <w:r>
        <w:rPr>
          <w:rFonts w:eastAsia="黑体"/>
          <w:sz w:val="21"/>
          <w:szCs w:val="20"/>
          <w:lang w:eastAsia="zh-CN"/>
        </w:rPr>
        <w:t>注：</w:t>
      </w:r>
      <w:r>
        <w:rPr>
          <w:rFonts w:hint="eastAsia" w:eastAsia="黑体"/>
          <w:sz w:val="21"/>
          <w:szCs w:val="20"/>
          <w:lang w:eastAsia="zh-CN"/>
        </w:rPr>
        <w:t>该</w:t>
      </w:r>
      <w:r>
        <w:rPr>
          <w:rFonts w:eastAsia="黑体"/>
          <w:sz w:val="21"/>
          <w:szCs w:val="20"/>
          <w:lang w:eastAsia="zh-CN"/>
        </w:rPr>
        <w:t>题目为多选题，</w:t>
      </w:r>
      <w:r>
        <w:rPr>
          <w:rFonts w:hint="eastAsia" w:eastAsia="黑体"/>
          <w:sz w:val="21"/>
          <w:szCs w:val="20"/>
          <w:lang w:eastAsia="zh-CN"/>
        </w:rPr>
        <w:t>因此选项</w:t>
      </w:r>
      <w:r>
        <w:rPr>
          <w:rFonts w:eastAsia="黑体"/>
          <w:sz w:val="21"/>
          <w:szCs w:val="20"/>
          <w:lang w:eastAsia="zh-CN"/>
        </w:rPr>
        <w:t>的</w:t>
      </w:r>
      <w:r>
        <w:rPr>
          <w:rFonts w:hint="eastAsia" w:eastAsia="黑体"/>
          <w:sz w:val="21"/>
          <w:szCs w:val="20"/>
          <w:lang w:eastAsia="zh-CN"/>
        </w:rPr>
        <w:t>百分比之和不是100.00%</w:t>
      </w:r>
      <w:r>
        <w:rPr>
          <w:rFonts w:eastAsia="黑体"/>
          <w:sz w:val="21"/>
          <w:szCs w:val="20"/>
          <w:lang w:eastAsia="zh-CN"/>
        </w:rPr>
        <w:t>。</w:t>
      </w:r>
    </w:p>
    <w:p>
      <w:pPr>
        <w:rPr>
          <w:snapToGrid/>
          <w:sz w:val="21"/>
          <w:lang w:eastAsia="zh-CN"/>
        </w:rPr>
      </w:pPr>
      <w:r>
        <w:rPr>
          <w:rFonts w:hint="eastAsia" w:ascii="仿宋" w:hAnsi="仿宋"/>
          <w:sz w:val="21"/>
          <w:lang w:eastAsia="zh-CN"/>
        </w:rPr>
        <w:t>数据来源：北京新锦成教育技术有限公司</w:t>
      </w:r>
    </w:p>
    <w:p>
      <w:pPr>
        <w:pStyle w:val="2"/>
        <w:ind w:firstLine="640"/>
        <w:rPr>
          <w:lang w:eastAsia="zh-CN"/>
        </w:rPr>
      </w:pPr>
      <w:bookmarkStart w:id="151" w:name="_Toc130307141"/>
      <w:bookmarkStart w:id="152" w:name="_Toc148372472"/>
      <w:bookmarkStart w:id="153" w:name="_Toc151887751"/>
      <w:r>
        <w:rPr>
          <w:rFonts w:hint="eastAsia"/>
          <w:lang w:eastAsia="zh-CN"/>
        </w:rPr>
        <w:t>四</w:t>
      </w:r>
      <w:r>
        <w:rPr>
          <w:lang w:eastAsia="zh-CN"/>
        </w:rPr>
        <w:t>、</w:t>
      </w:r>
      <w:r>
        <w:rPr>
          <w:rFonts w:hint="eastAsia"/>
          <w:lang w:eastAsia="zh-CN"/>
        </w:rPr>
        <w:t>薪酬</w:t>
      </w:r>
      <w:bookmarkEnd w:id="151"/>
      <w:bookmarkEnd w:id="152"/>
      <w:bookmarkEnd w:id="153"/>
    </w:p>
    <w:p>
      <w:pPr>
        <w:ind w:firstLine="640"/>
        <w:rPr>
          <w:lang w:eastAsia="zh-CN"/>
        </w:rPr>
      </w:pPr>
      <w:r>
        <w:rPr>
          <w:rFonts w:hint="eastAsia"/>
          <w:lang w:eastAsia="zh-CN"/>
        </w:rPr>
        <w:t>总体月均收入：</w:t>
      </w:r>
      <w:r>
        <w:rPr>
          <w:lang w:eastAsia="zh-CN"/>
        </w:rPr>
        <w:t>2022届</w:t>
      </w:r>
      <w:r>
        <w:rPr>
          <w:rFonts w:hint="eastAsia"/>
          <w:lang w:eastAsia="zh-CN"/>
        </w:rPr>
        <w:t>毕业生总体月均收入为4490元，比全国高校</w:t>
      </w:r>
      <w:r>
        <w:rPr>
          <w:lang w:eastAsia="zh-CN"/>
        </w:rPr>
        <w:t>2022</w:t>
      </w:r>
      <w:r>
        <w:rPr>
          <w:rFonts w:hint="eastAsia"/>
          <w:lang w:eastAsia="zh-CN"/>
        </w:rPr>
        <w:t>届毕业生</w:t>
      </w:r>
      <w:r>
        <w:rPr>
          <w:lang w:eastAsia="zh-CN"/>
        </w:rPr>
        <w:t>月均收入（4322元）</w:t>
      </w:r>
      <w:r>
        <w:rPr>
          <w:rFonts w:hint="eastAsia"/>
          <w:lang w:eastAsia="zh-CN"/>
        </w:rPr>
        <w:t>高</w:t>
      </w:r>
      <w:r>
        <w:rPr>
          <w:lang w:eastAsia="zh-CN"/>
        </w:rPr>
        <w:t>168元</w:t>
      </w:r>
      <w:r>
        <w:rPr>
          <w:rFonts w:hint="eastAsia"/>
          <w:lang w:eastAsia="zh-CN"/>
        </w:rPr>
        <w:t>。总体月均收入主要集中在“3500-5000元”（35.68%）</w:t>
      </w:r>
      <w:r>
        <w:rPr>
          <w:lang w:eastAsia="zh-CN"/>
        </w:rPr>
        <w:t>，其次为</w:t>
      </w:r>
      <w:r>
        <w:rPr>
          <w:rFonts w:hint="eastAsia"/>
          <w:lang w:eastAsia="zh-CN"/>
        </w:rPr>
        <w:t>“2000-3500元”（26.94%）</w:t>
      </w:r>
      <w:r>
        <w:rPr>
          <w:lang w:eastAsia="zh-CN"/>
        </w:rPr>
        <w:t>。</w:t>
      </w:r>
    </w:p>
    <w:p>
      <w:pPr>
        <w:pBdr>
          <w:top w:val="none" w:color="000000" w:sz="0" w:space="0"/>
          <w:left w:val="none" w:color="000000" w:sz="0" w:space="0"/>
          <w:bottom w:val="none" w:color="000000" w:sz="0" w:space="0"/>
          <w:right w:val="none" w:color="000000" w:sz="0" w:space="0"/>
          <w:between w:val="none" w:color="000000" w:sz="0" w:space="0"/>
        </w:pBdr>
        <w:spacing w:before="163" w:after="163" w:line="360" w:lineRule="auto"/>
        <w:ind w:firstLine="480"/>
        <w:jc w:val="center"/>
        <w:rPr>
          <w:rFonts w:eastAsia="宋体"/>
          <w:sz w:val="24"/>
          <w:szCs w:val="24"/>
          <w:lang w:val="zh-CN" w:eastAsia="zh-CN"/>
        </w:rPr>
      </w:pPr>
      <w:r>
        <w:rPr>
          <w:rFonts w:eastAsia="宋体"/>
          <w:sz w:val="24"/>
          <w:lang w:eastAsia="zh-CN"/>
        </w:rPr>
        <w:drawing>
          <wp:inline distT="0" distB="0" distL="0" distR="0">
            <wp:extent cx="5295900" cy="2145665"/>
            <wp:effectExtent l="0" t="0" r="0" b="6985"/>
            <wp:docPr id="523" name="图表 9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bCs/>
          <w:sz w:val="21"/>
          <w:lang w:eastAsia="zh-CN"/>
        </w:rPr>
      </w:pPr>
      <w:bookmarkStart w:id="154" w:name="_Toc129867500"/>
      <w:r>
        <w:rPr>
          <w:rFonts w:hint="eastAsia" w:eastAsia="黑体"/>
          <w:b/>
          <w:sz w:val="21"/>
          <w:lang w:eastAsia="zh-CN"/>
        </w:rPr>
        <w:t>图4.</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图2-2-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8</w:t>
      </w:r>
      <w:r>
        <w:rPr>
          <w:rFonts w:eastAsia="黑体"/>
          <w:b/>
          <w:sz w:val="21"/>
          <w:lang w:eastAsia="zh-CN"/>
        </w:rPr>
        <w:fldChar w:fldCharType="end"/>
      </w:r>
      <w:r>
        <w:rPr>
          <w:rFonts w:eastAsia="黑体"/>
          <w:b/>
          <w:bCs/>
          <w:sz w:val="21"/>
          <w:lang w:eastAsia="zh-CN"/>
        </w:rPr>
        <w:t xml:space="preserve">  </w:t>
      </w:r>
      <w:r>
        <w:rPr>
          <w:rFonts w:eastAsia="黑体"/>
          <w:b/>
          <w:sz w:val="21"/>
          <w:lang w:eastAsia="zh-CN"/>
        </w:rPr>
        <w:t>2020-2022届</w:t>
      </w:r>
      <w:r>
        <w:rPr>
          <w:rFonts w:hint="eastAsia" w:eastAsia="黑体"/>
          <w:b/>
          <w:bCs/>
          <w:sz w:val="21"/>
          <w:lang w:eastAsia="zh-CN"/>
        </w:rPr>
        <w:t>毕业生薪酬水平对比分析（单位</w:t>
      </w:r>
      <w:r>
        <w:rPr>
          <w:rFonts w:eastAsia="黑体"/>
          <w:b/>
          <w:bCs/>
          <w:sz w:val="21"/>
          <w:lang w:eastAsia="zh-CN"/>
        </w:rPr>
        <w:t>：元）</w:t>
      </w:r>
      <w:bookmarkEnd w:id="154"/>
    </w:p>
    <w:p>
      <w:pPr>
        <w:rPr>
          <w:snapToGrid/>
          <w:sz w:val="21"/>
          <w:lang w:eastAsia="zh-CN"/>
        </w:rPr>
      </w:pPr>
      <w:r>
        <w:rPr>
          <w:rFonts w:hint="eastAsia" w:ascii="仿宋" w:hAnsi="仿宋"/>
          <w:sz w:val="21"/>
          <w:lang w:eastAsia="zh-CN"/>
        </w:rPr>
        <w:t>数据来源：北京新锦成教育技术有限公司</w:t>
      </w:r>
    </w:p>
    <w:p>
      <w:pPr>
        <w:pBdr>
          <w:top w:val="none" w:color="000000" w:sz="0" w:space="0"/>
          <w:left w:val="none" w:color="000000" w:sz="0" w:space="0"/>
          <w:bottom w:val="none" w:color="000000" w:sz="0" w:space="0"/>
          <w:right w:val="none" w:color="000000" w:sz="0" w:space="0"/>
          <w:between w:val="none" w:color="000000" w:sz="0" w:space="0"/>
        </w:pBdr>
        <w:spacing w:before="163" w:after="156" w:line="360" w:lineRule="auto"/>
        <w:ind w:firstLine="480"/>
        <w:jc w:val="center"/>
        <w:rPr>
          <w:rFonts w:eastAsia="宋体"/>
          <w:color w:val="auto"/>
          <w:sz w:val="24"/>
          <w:lang w:eastAsia="zh-CN"/>
        </w:rPr>
      </w:pPr>
      <w:r>
        <w:rPr>
          <w:rFonts w:ascii="Calibri" w:hAnsi="Calibri" w:eastAsia="Calibri" w:cs="宋体"/>
          <w:sz w:val="24"/>
          <w:lang w:eastAsia="zh-CN"/>
        </w:rPr>
        <w:drawing>
          <wp:inline distT="0" distB="0" distL="0" distR="0">
            <wp:extent cx="5334000" cy="2314575"/>
            <wp:effectExtent l="0" t="0" r="0" b="0"/>
            <wp:docPr id="524" name="图表 5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宋体"/>
          <w:b/>
          <w:sz w:val="24"/>
          <w:szCs w:val="24"/>
          <w:lang w:eastAsia="zh-CN"/>
        </w:rPr>
      </w:pPr>
      <w:bookmarkStart w:id="155" w:name="_Toc129867502"/>
      <w:r>
        <w:rPr>
          <w:rFonts w:hint="eastAsia" w:eastAsia="黑体"/>
          <w:b/>
          <w:sz w:val="21"/>
          <w:lang w:eastAsia="zh-CN"/>
        </w:rPr>
        <w:t>图4.</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图2-2-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9</w:t>
      </w:r>
      <w:r>
        <w:rPr>
          <w:rFonts w:eastAsia="黑体"/>
          <w:b/>
          <w:sz w:val="21"/>
          <w:lang w:eastAsia="zh-CN"/>
        </w:rPr>
        <w:fldChar w:fldCharType="end"/>
      </w:r>
      <w:r>
        <w:rPr>
          <w:rFonts w:hint="eastAsia" w:eastAsia="宋体"/>
          <w:b/>
          <w:sz w:val="24"/>
          <w:szCs w:val="24"/>
          <w:lang w:eastAsia="zh-CN"/>
        </w:rPr>
        <w:t xml:space="preserve">  </w:t>
      </w:r>
      <w:r>
        <w:rPr>
          <w:rFonts w:eastAsia="宋体"/>
          <w:b/>
          <w:sz w:val="24"/>
          <w:szCs w:val="24"/>
          <w:lang w:eastAsia="zh-CN"/>
        </w:rPr>
        <w:t>2022届</w:t>
      </w:r>
      <w:r>
        <w:rPr>
          <w:rFonts w:hint="eastAsia" w:eastAsia="宋体"/>
          <w:b/>
          <w:sz w:val="24"/>
          <w:szCs w:val="24"/>
          <w:lang w:eastAsia="zh-CN"/>
        </w:rPr>
        <w:t>毕业生</w:t>
      </w:r>
      <w:r>
        <w:rPr>
          <w:rFonts w:eastAsia="宋体"/>
          <w:b/>
          <w:sz w:val="24"/>
          <w:szCs w:val="24"/>
          <w:lang w:eastAsia="zh-CN"/>
        </w:rPr>
        <w:t>薪酬区间分布</w:t>
      </w:r>
      <w:bookmarkEnd w:id="155"/>
    </w:p>
    <w:p>
      <w:pPr>
        <w:rPr>
          <w:snapToGrid/>
          <w:sz w:val="21"/>
          <w:lang w:eastAsia="zh-CN"/>
        </w:rPr>
      </w:pPr>
      <w:r>
        <w:rPr>
          <w:rFonts w:hint="eastAsia" w:ascii="仿宋" w:hAnsi="仿宋"/>
          <w:sz w:val="21"/>
          <w:lang w:eastAsia="zh-CN"/>
        </w:rPr>
        <w:t>数据来源：北京新锦成教育技术有限公司</w:t>
      </w:r>
    </w:p>
    <w:p>
      <w:pPr>
        <w:pStyle w:val="3"/>
        <w:ind w:firstLine="643"/>
        <w:rPr>
          <w:lang w:val="zh-CN" w:eastAsia="zh-CN"/>
        </w:rPr>
      </w:pPr>
      <w:bookmarkStart w:id="156" w:name="_Toc151887752"/>
      <w:r>
        <w:rPr>
          <w:rFonts w:hint="eastAsia"/>
          <w:lang w:val="zh-CN" w:eastAsia="zh-CN"/>
        </w:rPr>
        <w:t>（一）</w:t>
      </w:r>
      <w:r>
        <w:rPr>
          <w:lang w:val="zh-CN" w:eastAsia="zh-CN"/>
        </w:rPr>
        <w:t>各</w:t>
      </w:r>
      <w:r>
        <w:rPr>
          <w:rFonts w:hint="eastAsia"/>
          <w:lang w:val="zh-CN" w:eastAsia="zh-CN"/>
        </w:rPr>
        <w:t>学院月均收入</w:t>
      </w:r>
      <w:bookmarkEnd w:id="156"/>
    </w:p>
    <w:p>
      <w:pPr>
        <w:ind w:firstLine="640"/>
        <w:rPr>
          <w:lang w:eastAsia="zh-CN"/>
        </w:rPr>
      </w:pPr>
      <w:r>
        <w:rPr>
          <w:rFonts w:hint="eastAsia"/>
          <w:lang w:eastAsia="zh-CN"/>
        </w:rPr>
        <w:t>各学院月均收入：2022届</w:t>
      </w:r>
      <w:r>
        <w:rPr>
          <w:lang w:eastAsia="zh-CN"/>
        </w:rPr>
        <w:t>毕业生</w:t>
      </w:r>
      <w:r>
        <w:rPr>
          <w:rFonts w:hint="eastAsia"/>
          <w:lang w:eastAsia="zh-CN"/>
        </w:rPr>
        <w:t>各学院</w:t>
      </w:r>
      <w:r>
        <w:rPr>
          <w:lang w:eastAsia="zh-CN"/>
        </w:rPr>
        <w:t>月均收入</w:t>
      </w:r>
      <w:r>
        <w:rPr>
          <w:rFonts w:hint="eastAsia"/>
          <w:lang w:eastAsia="zh-CN"/>
        </w:rPr>
        <w:t>均在3557</w:t>
      </w:r>
      <w:r>
        <w:rPr>
          <w:lang w:eastAsia="zh-CN"/>
        </w:rPr>
        <w:t>.14</w:t>
      </w:r>
      <w:r>
        <w:rPr>
          <w:rFonts w:hint="eastAsia"/>
          <w:lang w:eastAsia="zh-CN"/>
        </w:rPr>
        <w:t>元及以上；收入最高的是“海事学院”（595</w:t>
      </w:r>
      <w:r>
        <w:rPr>
          <w:lang w:eastAsia="zh-CN"/>
        </w:rPr>
        <w:t>5.56</w:t>
      </w:r>
      <w:r>
        <w:rPr>
          <w:rFonts w:hint="eastAsia"/>
          <w:lang w:eastAsia="zh-CN"/>
        </w:rPr>
        <w:t>元）</w:t>
      </w:r>
      <w:r>
        <w:rPr>
          <w:lang w:eastAsia="zh-CN"/>
        </w:rPr>
        <w:t>。</w:t>
      </w:r>
    </w:p>
    <w:p>
      <w:pPr>
        <w:pBdr>
          <w:top w:val="none" w:color="000000" w:sz="0" w:space="0"/>
          <w:left w:val="none" w:color="000000" w:sz="0" w:space="0"/>
          <w:bottom w:val="none" w:color="000000" w:sz="0" w:space="0"/>
          <w:right w:val="none" w:color="000000" w:sz="0" w:space="0"/>
          <w:between w:val="none" w:color="000000" w:sz="0" w:space="0"/>
        </w:pBdr>
        <w:spacing w:after="163" w:line="240" w:lineRule="auto"/>
        <w:ind w:firstLine="480"/>
        <w:jc w:val="center"/>
        <w:rPr>
          <w:rFonts w:eastAsia="Calibri"/>
          <w:color w:val="auto"/>
          <w:sz w:val="21"/>
          <w:lang w:eastAsia="zh-CN"/>
        </w:rPr>
      </w:pPr>
      <w:r>
        <w:rPr>
          <w:rFonts w:ascii="Calibri" w:hAnsi="Calibri" w:eastAsia="Calibri" w:cs="宋体"/>
          <w:sz w:val="24"/>
          <w:lang w:eastAsia="zh-CN"/>
        </w:rPr>
        <w:drawing>
          <wp:inline distT="0" distB="0" distL="0" distR="0">
            <wp:extent cx="4762500" cy="3171825"/>
            <wp:effectExtent l="0" t="0" r="0" b="0"/>
            <wp:docPr id="525" name="图表 98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157" w:name="_Toc129867503"/>
      <w:r>
        <w:rPr>
          <w:rFonts w:hint="eastAsia" w:eastAsia="黑体"/>
          <w:b/>
          <w:sz w:val="21"/>
          <w:lang w:eastAsia="zh-CN"/>
        </w:rPr>
        <w:t>图4.</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图2-2-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10</w:t>
      </w:r>
      <w:r>
        <w:rPr>
          <w:rFonts w:eastAsia="黑体"/>
          <w:b/>
          <w:sz w:val="21"/>
          <w:lang w:eastAsia="zh-CN"/>
        </w:rPr>
        <w:fldChar w:fldCharType="end"/>
      </w:r>
      <w:r>
        <w:rPr>
          <w:rFonts w:hint="eastAsia" w:eastAsia="宋体"/>
          <w:b/>
          <w:sz w:val="24"/>
          <w:szCs w:val="24"/>
          <w:lang w:eastAsia="zh-CN"/>
        </w:rPr>
        <w:t xml:space="preserve">  </w:t>
      </w:r>
      <w:r>
        <w:rPr>
          <w:rFonts w:eastAsia="宋体"/>
          <w:b/>
          <w:sz w:val="24"/>
          <w:szCs w:val="24"/>
          <w:lang w:eastAsia="zh-CN"/>
        </w:rPr>
        <w:t>2022届各</w:t>
      </w:r>
      <w:r>
        <w:rPr>
          <w:rFonts w:hint="eastAsia" w:eastAsia="宋体"/>
          <w:b/>
          <w:sz w:val="24"/>
          <w:szCs w:val="24"/>
          <w:lang w:eastAsia="zh-CN"/>
        </w:rPr>
        <w:t>学院毕业生月均收入</w:t>
      </w:r>
      <w:r>
        <w:rPr>
          <w:rFonts w:eastAsia="宋体"/>
          <w:b/>
          <w:sz w:val="24"/>
          <w:szCs w:val="24"/>
          <w:lang w:eastAsia="zh-CN"/>
        </w:rPr>
        <w:t>分布（单位：元）</w:t>
      </w:r>
      <w:bookmarkEnd w:id="157"/>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after="120" w:afterLines="50" w:line="240" w:lineRule="auto"/>
        <w:ind w:firstLineChars="0"/>
        <w:jc w:val="both"/>
        <w:textAlignment w:val="auto"/>
        <w:rPr>
          <w:rFonts w:ascii="黑体" w:hAnsi="黑体" w:eastAsia="黑体"/>
          <w:snapToGrid/>
          <w:sz w:val="21"/>
          <w:lang w:eastAsia="zh-CN"/>
        </w:rPr>
      </w:pPr>
      <w:r>
        <w:rPr>
          <w:rFonts w:hint="eastAsia" w:ascii="黑体" w:hAnsi="黑体" w:eastAsia="黑体"/>
          <w:snapToGrid/>
          <w:sz w:val="21"/>
          <w:lang w:eastAsia="zh-CN"/>
        </w:rPr>
        <w:t>注：*学院样本量较小，其分析结果仅供参考，不纳入到报告结论的分析范畴。</w:t>
      </w:r>
    </w:p>
    <w:p>
      <w:pPr>
        <w:rPr>
          <w:snapToGrid/>
          <w:sz w:val="21"/>
          <w:lang w:eastAsia="zh-CN"/>
        </w:rPr>
      </w:pPr>
      <w:r>
        <w:rPr>
          <w:rFonts w:hint="eastAsia" w:ascii="仿宋" w:hAnsi="仿宋"/>
          <w:sz w:val="21"/>
          <w:lang w:eastAsia="zh-CN"/>
        </w:rPr>
        <w:t>数据来源：北京新锦成教育技术有限公司</w:t>
      </w:r>
    </w:p>
    <w:p>
      <w:pPr>
        <w:pStyle w:val="3"/>
        <w:ind w:firstLine="643"/>
        <w:rPr>
          <w:lang w:val="zh-CN" w:eastAsia="zh-CN"/>
        </w:rPr>
      </w:pPr>
      <w:bookmarkStart w:id="158" w:name="_Toc151887753"/>
      <w:r>
        <w:rPr>
          <w:rFonts w:hint="eastAsia"/>
          <w:lang w:val="zh-CN" w:eastAsia="zh-CN"/>
        </w:rPr>
        <w:t>（二）</w:t>
      </w:r>
      <w:r>
        <w:rPr>
          <w:lang w:val="zh-CN" w:eastAsia="zh-CN"/>
        </w:rPr>
        <w:t>各</w:t>
      </w:r>
      <w:r>
        <w:rPr>
          <w:rFonts w:hint="eastAsia"/>
          <w:lang w:val="zh-CN" w:eastAsia="zh-CN"/>
        </w:rPr>
        <w:t>专业月均收入</w:t>
      </w:r>
      <w:bookmarkEnd w:id="158"/>
    </w:p>
    <w:p>
      <w:pPr>
        <w:ind w:firstLine="640"/>
        <w:rPr>
          <w:lang w:eastAsia="zh-CN"/>
        </w:rPr>
      </w:pPr>
      <w:r>
        <w:rPr>
          <w:rFonts w:hint="eastAsia"/>
          <w:lang w:eastAsia="zh-CN"/>
        </w:rPr>
        <w:t>各专业月均收入：“航海技术”“建筑工程技术”“中药学”专业的毕业生</w:t>
      </w:r>
      <w:r>
        <w:rPr>
          <w:lang w:eastAsia="zh-CN"/>
        </w:rPr>
        <w:t>月</w:t>
      </w:r>
      <w:r>
        <w:rPr>
          <w:rFonts w:hint="eastAsia"/>
          <w:lang w:eastAsia="zh-CN"/>
        </w:rPr>
        <w:t>均收入水平相对较高，均在5749元及以上；而“风景园林设计”</w:t>
      </w:r>
      <w:r>
        <w:rPr>
          <w:lang w:eastAsia="zh-CN"/>
        </w:rPr>
        <w:t>专业</w:t>
      </w:r>
      <w:r>
        <w:rPr>
          <w:rFonts w:hint="eastAsia"/>
          <w:lang w:eastAsia="zh-CN"/>
        </w:rPr>
        <w:t>的毕业生月均</w:t>
      </w:r>
      <w:r>
        <w:rPr>
          <w:lang w:eastAsia="zh-CN"/>
        </w:rPr>
        <w:t>收</w:t>
      </w:r>
      <w:r>
        <w:rPr>
          <w:rFonts w:hint="eastAsia"/>
          <w:lang w:eastAsia="zh-CN"/>
        </w:rPr>
        <w:t>入水平相对较低，为</w:t>
      </w:r>
      <w:r>
        <w:rPr>
          <w:lang w:eastAsia="zh-CN"/>
        </w:rPr>
        <w:t>2775</w:t>
      </w:r>
      <w:r>
        <w:rPr>
          <w:rFonts w:hint="eastAsia"/>
          <w:lang w:eastAsia="zh-CN"/>
        </w:rPr>
        <w:t>元。</w:t>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159" w:name="_Toc129867504"/>
      <w:r>
        <w:rPr>
          <w:rFonts w:hint="eastAsia" w:eastAsia="黑体"/>
          <w:b/>
          <w:sz w:val="21"/>
          <w:lang w:eastAsia="zh-CN"/>
        </w:rPr>
        <w:t xml:space="preserve">表4. </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表2-2-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5</w:t>
      </w:r>
      <w:r>
        <w:rPr>
          <w:rFonts w:eastAsia="黑体"/>
          <w:b/>
          <w:sz w:val="21"/>
          <w:lang w:eastAsia="zh-CN"/>
        </w:rPr>
        <w:fldChar w:fldCharType="end"/>
      </w:r>
      <w:r>
        <w:rPr>
          <w:rFonts w:eastAsia="黑体"/>
          <w:bCs/>
          <w:sz w:val="21"/>
          <w:lang w:eastAsia="zh-CN"/>
        </w:rPr>
        <w:t xml:space="preserve">  </w:t>
      </w:r>
      <w:r>
        <w:rPr>
          <w:rFonts w:eastAsia="宋体"/>
          <w:b/>
          <w:sz w:val="24"/>
          <w:szCs w:val="24"/>
          <w:lang w:eastAsia="zh-CN"/>
        </w:rPr>
        <w:t>2022届各专业</w:t>
      </w:r>
      <w:r>
        <w:rPr>
          <w:rFonts w:hint="eastAsia" w:eastAsia="宋体"/>
          <w:b/>
          <w:sz w:val="24"/>
          <w:szCs w:val="24"/>
          <w:lang w:eastAsia="zh-CN"/>
        </w:rPr>
        <w:t>毕业生月均收入</w:t>
      </w:r>
      <w:r>
        <w:rPr>
          <w:rFonts w:eastAsia="宋体"/>
          <w:b/>
          <w:sz w:val="24"/>
          <w:szCs w:val="24"/>
          <w:lang w:eastAsia="zh-CN"/>
        </w:rPr>
        <w:t>水平</w:t>
      </w:r>
      <w:r>
        <w:rPr>
          <w:rFonts w:hint="eastAsia" w:eastAsia="宋体"/>
          <w:b/>
          <w:sz w:val="24"/>
          <w:szCs w:val="24"/>
          <w:lang w:eastAsia="zh-CN"/>
        </w:rPr>
        <w:t>分布</w:t>
      </w:r>
      <w:r>
        <w:rPr>
          <w:rFonts w:eastAsia="宋体"/>
          <w:b/>
          <w:sz w:val="24"/>
          <w:szCs w:val="24"/>
          <w:lang w:eastAsia="zh-CN"/>
        </w:rPr>
        <w:t>（单位：元）</w:t>
      </w:r>
      <w:bookmarkEnd w:id="159"/>
    </w:p>
    <w:tbl>
      <w:tblPr>
        <w:tblStyle w:val="30"/>
        <w:tblW w:w="3949" w:type="pct"/>
        <w:jc w:val="cente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3450"/>
        <w:gridCol w:w="4418"/>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jc w:val="center"/>
        </w:trPr>
        <w:tc>
          <w:tcPr>
            <w:tcW w:w="2192" w:type="pct"/>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color w:val="CCE8CF"/>
                <w:sz w:val="21"/>
                <w:lang w:eastAsia="zh-CN"/>
              </w:rPr>
            </w:pPr>
            <w:r>
              <w:rPr>
                <w:rFonts w:hint="eastAsia" w:ascii="宋体" w:hAnsi="宋体" w:eastAsia="宋体" w:cs="宋体"/>
                <w:b/>
                <w:bCs/>
                <w:snapToGrid/>
                <w:color w:val="CCE8CF"/>
                <w:sz w:val="21"/>
                <w:lang w:eastAsia="zh-CN"/>
              </w:rPr>
              <w:t>专业</w:t>
            </w:r>
          </w:p>
        </w:tc>
        <w:tc>
          <w:tcPr>
            <w:tcW w:w="2807" w:type="pct"/>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color w:val="CCE8CF"/>
                <w:sz w:val="21"/>
                <w:lang w:eastAsia="zh-CN"/>
              </w:rPr>
            </w:pPr>
            <w:r>
              <w:rPr>
                <w:rFonts w:hint="eastAsia" w:ascii="宋体" w:hAnsi="宋体" w:eastAsia="宋体" w:cs="宋体"/>
                <w:b/>
                <w:bCs/>
                <w:snapToGrid/>
                <w:color w:val="CCE8CF"/>
                <w:sz w:val="21"/>
                <w:lang w:eastAsia="zh-CN"/>
              </w:rPr>
              <w:t>薪酬均值</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92"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航海技术</w:t>
            </w:r>
          </w:p>
        </w:tc>
        <w:tc>
          <w:tcPr>
            <w:tcW w:w="2807"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6643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92"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建筑工程技术</w:t>
            </w:r>
          </w:p>
        </w:tc>
        <w:tc>
          <w:tcPr>
            <w:tcW w:w="2807"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5891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92"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中药学</w:t>
            </w:r>
          </w:p>
        </w:tc>
        <w:tc>
          <w:tcPr>
            <w:tcW w:w="2807"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5749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92"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汽车检测与维修技术</w:t>
            </w:r>
          </w:p>
        </w:tc>
        <w:tc>
          <w:tcPr>
            <w:tcW w:w="2807"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5580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92"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金融管理</w:t>
            </w:r>
          </w:p>
        </w:tc>
        <w:tc>
          <w:tcPr>
            <w:tcW w:w="2807"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5010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rHeight w:val="162" w:hRule="atLeast"/>
          <w:jc w:val="center"/>
        </w:trPr>
        <w:tc>
          <w:tcPr>
            <w:tcW w:w="2192"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口腔医学技术</w:t>
            </w:r>
          </w:p>
        </w:tc>
        <w:tc>
          <w:tcPr>
            <w:tcW w:w="2807"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4944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92"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计算机网络技术</w:t>
            </w:r>
          </w:p>
        </w:tc>
        <w:tc>
          <w:tcPr>
            <w:tcW w:w="2807"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4936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92"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石油化工技术</w:t>
            </w:r>
          </w:p>
        </w:tc>
        <w:tc>
          <w:tcPr>
            <w:tcW w:w="2807"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4857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92"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工程造价</w:t>
            </w:r>
          </w:p>
        </w:tc>
        <w:tc>
          <w:tcPr>
            <w:tcW w:w="2807"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4695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92"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新能源汽车技术</w:t>
            </w:r>
          </w:p>
        </w:tc>
        <w:tc>
          <w:tcPr>
            <w:tcW w:w="2807"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4664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92"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烹调工艺与营养</w:t>
            </w:r>
          </w:p>
        </w:tc>
        <w:tc>
          <w:tcPr>
            <w:tcW w:w="2807"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4573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92"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工商企业管理</w:t>
            </w:r>
          </w:p>
        </w:tc>
        <w:tc>
          <w:tcPr>
            <w:tcW w:w="2807"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4525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92"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旅游管理</w:t>
            </w:r>
          </w:p>
        </w:tc>
        <w:tc>
          <w:tcPr>
            <w:tcW w:w="2807"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4388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92"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社区康复</w:t>
            </w:r>
          </w:p>
        </w:tc>
        <w:tc>
          <w:tcPr>
            <w:tcW w:w="2807"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4346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92"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食品营养与检测</w:t>
            </w:r>
          </w:p>
        </w:tc>
        <w:tc>
          <w:tcPr>
            <w:tcW w:w="2807"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4286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92"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软件技术</w:t>
            </w:r>
          </w:p>
        </w:tc>
        <w:tc>
          <w:tcPr>
            <w:tcW w:w="2807"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4250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92"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药品生产技术</w:t>
            </w:r>
          </w:p>
        </w:tc>
        <w:tc>
          <w:tcPr>
            <w:tcW w:w="2807"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4166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92"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市场营销</w:t>
            </w:r>
          </w:p>
        </w:tc>
        <w:tc>
          <w:tcPr>
            <w:tcW w:w="2807"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3792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92"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物流管理</w:t>
            </w:r>
          </w:p>
        </w:tc>
        <w:tc>
          <w:tcPr>
            <w:tcW w:w="2807"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3720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92"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会计</w:t>
            </w:r>
          </w:p>
        </w:tc>
        <w:tc>
          <w:tcPr>
            <w:tcW w:w="2807"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3673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92"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护理</w:t>
            </w:r>
          </w:p>
        </w:tc>
        <w:tc>
          <w:tcPr>
            <w:tcW w:w="2807"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3541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92"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环境艺术设计</w:t>
            </w:r>
          </w:p>
        </w:tc>
        <w:tc>
          <w:tcPr>
            <w:tcW w:w="2807"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3520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92"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健康管理</w:t>
            </w:r>
          </w:p>
        </w:tc>
        <w:tc>
          <w:tcPr>
            <w:tcW w:w="2807"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3073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92"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风景园林设计</w:t>
            </w:r>
          </w:p>
        </w:tc>
        <w:tc>
          <w:tcPr>
            <w:tcW w:w="2807"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2775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92"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水路运输与海事管理</w:t>
            </w:r>
          </w:p>
        </w:tc>
        <w:tc>
          <w:tcPr>
            <w:tcW w:w="2807"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*7750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92"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电子商务</w:t>
            </w:r>
          </w:p>
        </w:tc>
        <w:tc>
          <w:tcPr>
            <w:tcW w:w="2807"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*6833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92"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机电一体化技术</w:t>
            </w:r>
          </w:p>
        </w:tc>
        <w:tc>
          <w:tcPr>
            <w:tcW w:w="2807"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*5800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92"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机电一体化技术（中高职转段）</w:t>
            </w:r>
          </w:p>
        </w:tc>
        <w:tc>
          <w:tcPr>
            <w:tcW w:w="2807"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*5600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92"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艺术设计</w:t>
            </w:r>
          </w:p>
        </w:tc>
        <w:tc>
          <w:tcPr>
            <w:tcW w:w="2807"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*5256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92"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工业机器人技术</w:t>
            </w:r>
          </w:p>
        </w:tc>
        <w:tc>
          <w:tcPr>
            <w:tcW w:w="2807"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*5000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92"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建筑设计</w:t>
            </w:r>
          </w:p>
        </w:tc>
        <w:tc>
          <w:tcPr>
            <w:tcW w:w="2807"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*5000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92"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智能控制技术</w:t>
            </w:r>
          </w:p>
        </w:tc>
        <w:tc>
          <w:tcPr>
            <w:tcW w:w="2807"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*5000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92"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机械设计与制造</w:t>
            </w:r>
          </w:p>
        </w:tc>
        <w:tc>
          <w:tcPr>
            <w:tcW w:w="2807"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*5000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92"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大数据技术与应用</w:t>
            </w:r>
          </w:p>
        </w:tc>
        <w:tc>
          <w:tcPr>
            <w:tcW w:w="2807"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*4717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92"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传播与策划</w:t>
            </w:r>
          </w:p>
        </w:tc>
        <w:tc>
          <w:tcPr>
            <w:tcW w:w="2807"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*4700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92"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机械设计与制造（中高职转段）</w:t>
            </w:r>
          </w:p>
        </w:tc>
        <w:tc>
          <w:tcPr>
            <w:tcW w:w="2807"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*4667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92"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酒店管理</w:t>
            </w:r>
          </w:p>
        </w:tc>
        <w:tc>
          <w:tcPr>
            <w:tcW w:w="2807"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*4367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92"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国际邮轮乘务管理</w:t>
            </w:r>
          </w:p>
        </w:tc>
        <w:tc>
          <w:tcPr>
            <w:tcW w:w="2807"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*4267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92"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建筑装饰工程技术</w:t>
            </w:r>
          </w:p>
        </w:tc>
        <w:tc>
          <w:tcPr>
            <w:tcW w:w="2807"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*4250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92"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电气自动化技术</w:t>
            </w:r>
          </w:p>
        </w:tc>
        <w:tc>
          <w:tcPr>
            <w:tcW w:w="2807"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*4175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92"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体育运营与管理</w:t>
            </w:r>
          </w:p>
        </w:tc>
        <w:tc>
          <w:tcPr>
            <w:tcW w:w="2807"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*4000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92"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轮机工程技术</w:t>
            </w:r>
          </w:p>
        </w:tc>
        <w:tc>
          <w:tcPr>
            <w:tcW w:w="2807"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*4000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92"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音乐表演</w:t>
            </w:r>
          </w:p>
        </w:tc>
        <w:tc>
          <w:tcPr>
            <w:tcW w:w="2807"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*3917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92"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助产</w:t>
            </w:r>
          </w:p>
        </w:tc>
        <w:tc>
          <w:tcPr>
            <w:tcW w:w="2807"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eastAsia="宋体"/>
                <w:snapToGrid/>
                <w:sz w:val="21"/>
                <w:lang w:eastAsia="zh-CN"/>
              </w:rPr>
              <w:t>*3857</w:t>
            </w:r>
          </w:p>
        </w:tc>
      </w:tr>
    </w:tbl>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Chars="0"/>
        <w:jc w:val="both"/>
        <w:textAlignment w:val="auto"/>
        <w:rPr>
          <w:rFonts w:ascii="黑体" w:hAnsi="黑体" w:eastAsia="黑体"/>
          <w:snapToGrid/>
          <w:sz w:val="21"/>
          <w:lang w:eastAsia="zh-CN"/>
        </w:rPr>
      </w:pPr>
      <w:r>
        <w:rPr>
          <w:rFonts w:ascii="黑体" w:hAnsi="黑体" w:eastAsia="黑体"/>
          <w:snapToGrid/>
          <w:sz w:val="21"/>
          <w:lang w:eastAsia="zh-CN"/>
        </w:rPr>
        <w:t>注：</w:t>
      </w:r>
      <w:r>
        <w:rPr>
          <w:rFonts w:hint="eastAsia" w:ascii="黑体" w:hAnsi="黑体" w:eastAsia="黑体"/>
          <w:snapToGrid/>
          <w:sz w:val="21"/>
          <w:lang w:eastAsia="zh-CN"/>
        </w:rPr>
        <w:t>*</w:t>
      </w:r>
      <w:r>
        <w:rPr>
          <w:rFonts w:ascii="黑体" w:hAnsi="黑体" w:eastAsia="黑体"/>
          <w:snapToGrid/>
          <w:sz w:val="21"/>
          <w:lang w:eastAsia="zh-CN"/>
        </w:rPr>
        <w:t>专业样本量较小，其分析结果仅供参考，不纳入到报告结论的分析范畴。</w:t>
      </w:r>
    </w:p>
    <w:p>
      <w:pPr>
        <w:rPr>
          <w:snapToGrid/>
          <w:sz w:val="21"/>
          <w:lang w:eastAsia="zh-CN"/>
        </w:rPr>
      </w:pPr>
      <w:r>
        <w:rPr>
          <w:rFonts w:hint="eastAsia" w:ascii="仿宋" w:hAnsi="仿宋"/>
          <w:sz w:val="21"/>
          <w:lang w:eastAsia="zh-CN"/>
        </w:rPr>
        <w:t>数据来源：北京新锦成教育技术有限公司</w:t>
      </w:r>
    </w:p>
    <w:p>
      <w:pPr>
        <w:pStyle w:val="2"/>
        <w:ind w:firstLine="640"/>
        <w:rPr>
          <w:lang w:eastAsia="zh-CN"/>
        </w:rPr>
      </w:pPr>
      <w:bookmarkStart w:id="160" w:name="_Toc148372473"/>
      <w:bookmarkStart w:id="161" w:name="_Toc151887754"/>
      <w:bookmarkStart w:id="162" w:name="_Toc130307142"/>
      <w:r>
        <w:rPr>
          <w:rFonts w:hint="eastAsia"/>
          <w:lang w:eastAsia="zh-CN"/>
        </w:rPr>
        <w:t>五</w:t>
      </w:r>
      <w:r>
        <w:rPr>
          <w:lang w:eastAsia="zh-CN"/>
        </w:rPr>
        <w:t>、</w:t>
      </w:r>
      <w:r>
        <w:rPr>
          <w:rFonts w:hint="eastAsia"/>
          <w:lang w:eastAsia="zh-CN"/>
        </w:rPr>
        <w:t>专业对口度</w:t>
      </w:r>
      <w:bookmarkEnd w:id="160"/>
      <w:bookmarkEnd w:id="161"/>
      <w:bookmarkEnd w:id="162"/>
    </w:p>
    <w:p>
      <w:pPr>
        <w:ind w:firstLine="640"/>
        <w:rPr>
          <w:lang w:eastAsia="zh-CN"/>
        </w:rPr>
      </w:pPr>
      <w:r>
        <w:rPr>
          <w:rFonts w:hint="eastAsia"/>
          <w:lang w:eastAsia="zh-CN"/>
        </w:rPr>
        <w:t>专业对口度：</w:t>
      </w:r>
      <w:r>
        <w:rPr>
          <w:lang w:eastAsia="zh-CN"/>
        </w:rPr>
        <w:t>毕业生就业岗位与所学专业</w:t>
      </w:r>
      <w:r>
        <w:rPr>
          <w:rFonts w:hint="eastAsia"/>
          <w:lang w:eastAsia="zh-CN"/>
        </w:rPr>
        <w:t>的对口度具有重要意义。从事与专业对口的工作</w:t>
      </w:r>
      <w:r>
        <w:rPr>
          <w:lang w:eastAsia="zh-CN"/>
        </w:rPr>
        <w:t>一方面可以保证高校人才培养符合社会经济发展要求，不会造成专业人才培养的浪费</w:t>
      </w:r>
      <w:r>
        <w:rPr>
          <w:rFonts w:hint="eastAsia"/>
          <w:lang w:eastAsia="zh-CN"/>
        </w:rPr>
        <w:t>，</w:t>
      </w:r>
      <w:r>
        <w:rPr>
          <w:lang w:eastAsia="zh-CN"/>
        </w:rPr>
        <w:t>另一方面也有利于毕业生个人职业的发展。调查了解毕业生目前工作岗位与所学专业的对口情况，其评价维度包括“很不对口、不对口、基本对口、对口、很对口、无法评价”；专业对口度为选择“很对口”“对口”“基本对口”的人数占“回答此题总人数-无法评价人数”的比例，另外针对毕业生的反馈分别赋予1-5分（“很不对口”=1分，“很对口”=5分），计算其均值。具体内容如下所示。</w:t>
      </w:r>
    </w:p>
    <w:p>
      <w:pPr>
        <w:ind w:firstLine="640"/>
        <w:rPr>
          <w:lang w:eastAsia="zh-CN"/>
        </w:rPr>
      </w:pPr>
      <w:r>
        <w:rPr>
          <w:rFonts w:hint="eastAsia"/>
          <w:lang w:eastAsia="zh-CN"/>
        </w:rPr>
        <w:t>总体专业对口度</w:t>
      </w:r>
      <w:r>
        <w:rPr>
          <w:lang w:eastAsia="zh-CN"/>
        </w:rPr>
        <w:t>：2022届毕业生的总体专业对口度为</w:t>
      </w:r>
      <w:r>
        <w:rPr>
          <w:rFonts w:hint="eastAsia"/>
          <w:lang w:val="zh-CN" w:eastAsia="zh-CN"/>
        </w:rPr>
        <w:t>69.96%</w:t>
      </w:r>
      <w:r>
        <w:rPr>
          <w:lang w:eastAsia="zh-CN"/>
        </w:rPr>
        <w:t>；其中，</w:t>
      </w:r>
      <w:r>
        <w:rPr>
          <w:rFonts w:hint="eastAsia"/>
          <w:lang w:eastAsia="zh-CN"/>
        </w:rPr>
        <w:t>17.64%的毕业生认为目前的工作岗位与所学专业的对口度“很对口”；另外，目前工作与所学专业的对口度均值为</w:t>
      </w:r>
      <w:r>
        <w:rPr>
          <w:rFonts w:hint="eastAsia"/>
          <w:lang w:val="zh-CN" w:eastAsia="zh-CN"/>
        </w:rPr>
        <w:t>3.20</w:t>
      </w:r>
      <w:r>
        <w:rPr>
          <w:rFonts w:hint="eastAsia"/>
          <w:lang w:eastAsia="zh-CN"/>
        </w:rPr>
        <w:t>分（</w:t>
      </w:r>
      <w:r>
        <w:rPr>
          <w:lang w:eastAsia="zh-CN"/>
        </w:rPr>
        <w:t>5</w:t>
      </w:r>
      <w:r>
        <w:rPr>
          <w:rFonts w:hint="eastAsia"/>
          <w:lang w:eastAsia="zh-CN"/>
        </w:rPr>
        <w:t>分制）。</w:t>
      </w:r>
    </w:p>
    <w:p>
      <w:pPr>
        <w:pBdr>
          <w:top w:val="none" w:color="000000" w:sz="0" w:space="0"/>
          <w:left w:val="none" w:color="000000" w:sz="0" w:space="0"/>
          <w:bottom w:val="none" w:color="000000" w:sz="0" w:space="0"/>
          <w:right w:val="none" w:color="000000" w:sz="0" w:space="0"/>
          <w:between w:val="none" w:color="000000" w:sz="0" w:space="0"/>
        </w:pBdr>
        <w:spacing w:line="360" w:lineRule="auto"/>
        <w:ind w:firstLine="480"/>
        <w:jc w:val="center"/>
        <w:rPr>
          <w:rFonts w:eastAsia="Calibri" w:cs="宋体"/>
          <w:sz w:val="24"/>
          <w:lang w:eastAsia="zh-CN"/>
        </w:rPr>
      </w:pPr>
      <w:r>
        <w:rPr>
          <w:rFonts w:eastAsia="Calibri" w:cs="宋体"/>
          <w:sz w:val="24"/>
          <w:lang w:eastAsia="zh-CN"/>
        </w:rPr>
        <w:drawing>
          <wp:inline distT="0" distB="0" distL="0" distR="0">
            <wp:extent cx="4622800" cy="1896745"/>
            <wp:effectExtent l="0" t="0" r="12700" b="8255"/>
            <wp:docPr id="526" name="图表 9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宋体"/>
          <w:b/>
          <w:sz w:val="24"/>
          <w:szCs w:val="24"/>
          <w:lang w:eastAsia="zh-CN"/>
        </w:rPr>
      </w:pPr>
      <w:bookmarkStart w:id="163" w:name="_Toc129867506"/>
      <w:r>
        <w:rPr>
          <w:rFonts w:hint="eastAsia" w:eastAsia="黑体"/>
          <w:b/>
          <w:sz w:val="21"/>
          <w:lang w:eastAsia="zh-CN"/>
        </w:rPr>
        <w:t xml:space="preserve">图4. </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图2-2-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11</w:t>
      </w:r>
      <w:r>
        <w:rPr>
          <w:rFonts w:eastAsia="黑体"/>
          <w:b/>
          <w:sz w:val="21"/>
          <w:lang w:eastAsia="zh-CN"/>
        </w:rPr>
        <w:fldChar w:fldCharType="end"/>
      </w:r>
      <w:r>
        <w:rPr>
          <w:rFonts w:hint="eastAsia" w:eastAsia="宋体"/>
          <w:b/>
          <w:sz w:val="24"/>
          <w:szCs w:val="24"/>
          <w:lang w:eastAsia="zh-CN"/>
        </w:rPr>
        <w:t xml:space="preserve">  </w:t>
      </w:r>
      <w:r>
        <w:rPr>
          <w:rFonts w:eastAsia="黑体"/>
          <w:b/>
          <w:bCs/>
          <w:sz w:val="21"/>
          <w:lang w:eastAsia="zh-CN"/>
        </w:rPr>
        <w:t>2022届</w:t>
      </w:r>
      <w:r>
        <w:rPr>
          <w:rFonts w:hint="eastAsia" w:eastAsia="宋体"/>
          <w:b/>
          <w:sz w:val="24"/>
          <w:szCs w:val="24"/>
          <w:lang w:eastAsia="zh-CN"/>
        </w:rPr>
        <w:t>毕业生</w:t>
      </w:r>
      <w:r>
        <w:rPr>
          <w:rFonts w:eastAsia="宋体"/>
          <w:b/>
          <w:sz w:val="24"/>
          <w:szCs w:val="24"/>
          <w:lang w:eastAsia="zh-CN"/>
        </w:rPr>
        <w:t>专业对口度分布</w:t>
      </w:r>
      <w:bookmarkEnd w:id="163"/>
    </w:p>
    <w:p>
      <w:pPr>
        <w:rPr>
          <w:snapToGrid/>
          <w:sz w:val="21"/>
          <w:lang w:eastAsia="zh-CN"/>
        </w:rPr>
      </w:pPr>
      <w:r>
        <w:rPr>
          <w:rFonts w:hint="eastAsia" w:ascii="仿宋" w:hAnsi="仿宋"/>
          <w:sz w:val="21"/>
          <w:lang w:eastAsia="zh-CN"/>
        </w:rPr>
        <w:t>数据来源：北京新锦成教育技术有限公司</w:t>
      </w:r>
    </w:p>
    <w:p>
      <w:pPr>
        <w:ind w:firstLine="640"/>
        <w:rPr>
          <w:lang w:eastAsia="zh-CN"/>
        </w:rPr>
      </w:pPr>
      <w:r>
        <w:rPr>
          <w:lang w:eastAsia="zh-CN"/>
        </w:rPr>
        <w:t>本校2022届毕业生专业对口度（</w:t>
      </w:r>
      <w:r>
        <w:rPr>
          <w:rFonts w:hint="eastAsia"/>
          <w:lang w:val="zh-CN" w:eastAsia="zh-CN"/>
        </w:rPr>
        <w:t>69.96%</w:t>
      </w:r>
      <w:r>
        <w:rPr>
          <w:lang w:eastAsia="zh-CN"/>
        </w:rPr>
        <w:t>）比全国高校2022届毕业生专业对口度（70.56%）低0.6个百分点</w:t>
      </w:r>
      <w:r>
        <w:rPr>
          <w:rFonts w:hint="eastAsia"/>
          <w:lang w:eastAsia="zh-CN"/>
        </w:rPr>
        <w:t>；</w:t>
      </w:r>
      <w:r>
        <w:rPr>
          <w:lang w:eastAsia="zh-CN"/>
        </w:rPr>
        <w:t>2020-2021</w:t>
      </w:r>
      <w:r>
        <w:rPr>
          <w:rFonts w:hint="eastAsia"/>
          <w:lang w:eastAsia="zh-CN"/>
        </w:rPr>
        <w:t>届毕业生专对口度分别为</w:t>
      </w:r>
      <w:r>
        <w:rPr>
          <w:lang w:eastAsia="zh-CN"/>
        </w:rPr>
        <w:t>64.20%</w:t>
      </w:r>
      <w:r>
        <w:rPr>
          <w:rFonts w:hint="eastAsia"/>
          <w:lang w:eastAsia="zh-CN"/>
        </w:rPr>
        <w:t>、</w:t>
      </w:r>
      <w:r>
        <w:rPr>
          <w:lang w:eastAsia="zh-CN"/>
        </w:rPr>
        <w:t>75.14%</w:t>
      </w:r>
      <w:r>
        <w:rPr>
          <w:rFonts w:hint="eastAsia"/>
          <w:lang w:eastAsia="zh-CN"/>
        </w:rPr>
        <w:t>。</w:t>
      </w:r>
    </w:p>
    <w:p>
      <w:pPr>
        <w:pBdr>
          <w:top w:val="none" w:color="000000" w:sz="0" w:space="0"/>
          <w:left w:val="none" w:color="000000" w:sz="0" w:space="0"/>
          <w:bottom w:val="none" w:color="000000" w:sz="0" w:space="0"/>
          <w:right w:val="none" w:color="000000" w:sz="0" w:space="0"/>
          <w:between w:val="none" w:color="000000" w:sz="0" w:space="0"/>
        </w:pBdr>
        <w:spacing w:before="163" w:after="163" w:line="360" w:lineRule="auto"/>
        <w:ind w:firstLine="480"/>
        <w:jc w:val="center"/>
        <w:rPr>
          <w:rFonts w:eastAsia="宋体"/>
          <w:sz w:val="24"/>
          <w:szCs w:val="24"/>
          <w:lang w:val="zh-CN" w:eastAsia="zh-CN"/>
        </w:rPr>
      </w:pPr>
      <w:r>
        <w:rPr>
          <w:rFonts w:eastAsia="宋体"/>
          <w:sz w:val="24"/>
          <w:lang w:eastAsia="zh-CN"/>
        </w:rPr>
        <w:drawing>
          <wp:inline distT="0" distB="0" distL="0" distR="0">
            <wp:extent cx="5153025" cy="2190750"/>
            <wp:effectExtent l="0" t="0" r="0" b="0"/>
            <wp:docPr id="527" name="图表 98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bCs/>
          <w:sz w:val="21"/>
          <w:lang w:eastAsia="zh-CN"/>
        </w:rPr>
      </w:pPr>
      <w:bookmarkStart w:id="164" w:name="_Toc129867507"/>
      <w:r>
        <w:rPr>
          <w:rFonts w:hint="eastAsia" w:eastAsia="黑体"/>
          <w:b/>
          <w:sz w:val="21"/>
          <w:lang w:eastAsia="zh-CN"/>
        </w:rPr>
        <w:t xml:space="preserve">图4. </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图2-2-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12</w:t>
      </w:r>
      <w:r>
        <w:rPr>
          <w:rFonts w:eastAsia="黑体"/>
          <w:b/>
          <w:sz w:val="21"/>
          <w:lang w:eastAsia="zh-CN"/>
        </w:rPr>
        <w:fldChar w:fldCharType="end"/>
      </w:r>
      <w:r>
        <w:rPr>
          <w:rFonts w:eastAsia="黑体"/>
          <w:b/>
          <w:bCs/>
          <w:sz w:val="21"/>
          <w:lang w:eastAsia="zh-CN"/>
        </w:rPr>
        <w:t xml:space="preserve">  </w:t>
      </w:r>
      <w:r>
        <w:rPr>
          <w:rFonts w:eastAsia="黑体"/>
          <w:b/>
          <w:sz w:val="21"/>
          <w:lang w:eastAsia="zh-CN"/>
        </w:rPr>
        <w:t>2020-2022届</w:t>
      </w:r>
      <w:r>
        <w:rPr>
          <w:rFonts w:hint="eastAsia" w:eastAsia="黑体"/>
          <w:b/>
          <w:bCs/>
          <w:sz w:val="21"/>
          <w:lang w:eastAsia="zh-CN"/>
        </w:rPr>
        <w:t>毕业生专业对口度对比分析</w:t>
      </w:r>
      <w:bookmarkEnd w:id="164"/>
    </w:p>
    <w:p>
      <w:pPr>
        <w:rPr>
          <w:snapToGrid/>
          <w:sz w:val="21"/>
          <w:lang w:eastAsia="zh-CN"/>
        </w:rPr>
      </w:pPr>
      <w:r>
        <w:rPr>
          <w:rFonts w:hint="eastAsia" w:ascii="仿宋" w:hAnsi="仿宋"/>
          <w:sz w:val="21"/>
          <w:lang w:eastAsia="zh-CN"/>
        </w:rPr>
        <w:t>数据来源：北京新锦成教育技术有限公司</w:t>
      </w:r>
    </w:p>
    <w:p>
      <w:pPr>
        <w:ind w:firstLine="640"/>
        <w:rPr>
          <w:lang w:eastAsia="zh-CN"/>
        </w:rPr>
      </w:pPr>
      <w:r>
        <w:rPr>
          <w:rFonts w:hint="eastAsia"/>
          <w:lang w:eastAsia="zh-CN"/>
        </w:rPr>
        <w:t>毕业生目前从事工作与专业不对口的原因</w:t>
      </w:r>
      <w:r>
        <w:rPr>
          <w:lang w:eastAsia="zh-CN"/>
        </w:rPr>
        <w:t>：2022届</w:t>
      </w:r>
      <w:r>
        <w:rPr>
          <w:rFonts w:hint="eastAsia"/>
          <w:lang w:eastAsia="zh-CN"/>
        </w:rPr>
        <w:t>毕业生从事专业不对口工作的原因主要是“想找对口工作，但是就业机会太少”，占比为25.76%；其次是“想找对口工作，但是不符合要求”，占比为20.71%。</w:t>
      </w:r>
    </w:p>
    <w:p>
      <w:pPr>
        <w:pBdr>
          <w:top w:val="none" w:color="000000" w:sz="0" w:space="0"/>
          <w:left w:val="none" w:color="000000" w:sz="0" w:space="0"/>
          <w:bottom w:val="none" w:color="000000" w:sz="0" w:space="0"/>
          <w:right w:val="none" w:color="000000" w:sz="0" w:space="0"/>
          <w:between w:val="none" w:color="000000" w:sz="0" w:space="0"/>
        </w:pBdr>
        <w:ind w:firstLine="360"/>
        <w:rPr>
          <w:rFonts w:eastAsia="Calibri" w:cs="Calibri"/>
          <w:caps/>
          <w:sz w:val="18"/>
          <w:szCs w:val="20"/>
          <w:lang w:eastAsia="zh-CN"/>
        </w:rPr>
      </w:pPr>
      <w:r>
        <w:rPr>
          <w:rFonts w:eastAsia="Calibri" w:cs="Calibri"/>
          <w:caps/>
          <w:sz w:val="18"/>
          <w:szCs w:val="20"/>
          <w:lang w:eastAsia="zh-CN"/>
        </w:rPr>
        <w:drawing>
          <wp:anchor distT="0" distB="0" distL="114300" distR="114300" simplePos="0" relativeHeight="251667456" behindDoc="0" locked="0" layoutInCell="1" allowOverlap="1">
            <wp:simplePos x="0" y="0"/>
            <wp:positionH relativeFrom="column">
              <wp:posOffset>487680</wp:posOffset>
            </wp:positionH>
            <wp:positionV relativeFrom="paragraph">
              <wp:posOffset>205105</wp:posOffset>
            </wp:positionV>
            <wp:extent cx="5200650" cy="2305050"/>
            <wp:effectExtent l="0" t="0" r="0" b="0"/>
            <wp:wrapNone/>
            <wp:docPr id="528" name="图表 5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165" w:name="_Toc129867508"/>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r>
        <w:rPr>
          <w:rFonts w:hint="eastAsia" w:eastAsia="黑体"/>
          <w:b/>
          <w:sz w:val="21"/>
          <w:lang w:eastAsia="zh-CN"/>
        </w:rPr>
        <w:t>图4.</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图2-2-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13</w:t>
      </w:r>
      <w:r>
        <w:rPr>
          <w:rFonts w:eastAsia="黑体"/>
          <w:b/>
          <w:sz w:val="21"/>
          <w:lang w:eastAsia="zh-CN"/>
        </w:rPr>
        <w:fldChar w:fldCharType="end"/>
      </w:r>
      <w:r>
        <w:rPr>
          <w:rFonts w:hint="eastAsia" w:eastAsia="黑体"/>
          <w:b/>
          <w:sz w:val="21"/>
          <w:lang w:eastAsia="zh-CN"/>
        </w:rPr>
        <w:t xml:space="preserve">  </w:t>
      </w:r>
      <w:r>
        <w:rPr>
          <w:rFonts w:eastAsia="黑体"/>
          <w:b/>
          <w:sz w:val="21"/>
          <w:lang w:eastAsia="zh-CN"/>
        </w:rPr>
        <w:t>2022届</w:t>
      </w:r>
      <w:r>
        <w:rPr>
          <w:rFonts w:hint="eastAsia" w:eastAsia="黑体"/>
          <w:b/>
          <w:sz w:val="21"/>
          <w:lang w:eastAsia="zh-CN"/>
        </w:rPr>
        <w:t>毕业生目前从事工作与专业不对口的原因分析</w:t>
      </w:r>
      <w:bookmarkEnd w:id="165"/>
    </w:p>
    <w:p>
      <w:pPr>
        <w:rPr>
          <w:snapToGrid/>
          <w:sz w:val="21"/>
          <w:lang w:eastAsia="zh-CN"/>
        </w:rPr>
      </w:pPr>
      <w:r>
        <w:rPr>
          <w:rFonts w:hint="eastAsia" w:ascii="仿宋" w:hAnsi="仿宋"/>
          <w:sz w:val="21"/>
          <w:lang w:eastAsia="zh-CN"/>
        </w:rPr>
        <w:t>数据来源：北京新锦成教育技术有限公司</w:t>
      </w:r>
    </w:p>
    <w:p>
      <w:pPr>
        <w:pStyle w:val="25"/>
        <w:rPr>
          <w:lang w:val="en-US"/>
        </w:rPr>
      </w:pPr>
    </w:p>
    <w:p>
      <w:pPr>
        <w:pStyle w:val="3"/>
        <w:ind w:firstLine="643"/>
        <w:rPr>
          <w:lang w:val="zh-CN" w:eastAsia="zh-CN"/>
        </w:rPr>
      </w:pPr>
      <w:bookmarkStart w:id="166" w:name="_Toc151887755"/>
      <w:r>
        <w:rPr>
          <w:rFonts w:hint="eastAsia"/>
          <w:lang w:val="zh-CN" w:eastAsia="zh-CN"/>
        </w:rPr>
        <w:t>（一）</w:t>
      </w:r>
      <w:r>
        <w:rPr>
          <w:lang w:val="zh-CN" w:eastAsia="zh-CN"/>
        </w:rPr>
        <w:t>各</w:t>
      </w:r>
      <w:r>
        <w:rPr>
          <w:rFonts w:hint="eastAsia"/>
          <w:lang w:val="zh-CN" w:eastAsia="zh-CN"/>
        </w:rPr>
        <w:t>学院专业对口度</w:t>
      </w:r>
      <w:bookmarkEnd w:id="166"/>
    </w:p>
    <w:p>
      <w:pPr>
        <w:ind w:firstLine="640"/>
        <w:rPr>
          <w:lang w:eastAsia="zh-CN"/>
        </w:rPr>
      </w:pPr>
      <w:r>
        <w:rPr>
          <w:lang w:eastAsia="zh-CN"/>
        </w:rPr>
        <w:t>各学院专业对口度：</w:t>
      </w:r>
      <w:r>
        <w:rPr>
          <w:rFonts w:hint="eastAsia"/>
          <w:lang w:val="zh-CN" w:eastAsia="zh-CN"/>
        </w:rPr>
        <w:t xml:space="preserve"> “</w:t>
      </w:r>
      <w:r>
        <w:rPr>
          <w:lang w:val="zh-CN" w:eastAsia="zh-CN"/>
        </w:rPr>
        <w:t>化学与材料工程学院</w:t>
      </w:r>
      <w:r>
        <w:rPr>
          <w:rFonts w:hint="eastAsia"/>
          <w:lang w:val="zh-CN" w:eastAsia="zh-CN"/>
        </w:rPr>
        <w:t>”</w:t>
      </w:r>
      <w:r>
        <w:rPr>
          <w:lang w:eastAsia="zh-CN"/>
        </w:rPr>
        <w:t>毕业生的专业对口度（</w:t>
      </w:r>
      <w:r>
        <w:rPr>
          <w:lang w:val="zh-CN" w:eastAsia="zh-CN"/>
        </w:rPr>
        <w:t>98.31%</w:t>
      </w:r>
      <w:r>
        <w:rPr>
          <w:lang w:eastAsia="zh-CN"/>
        </w:rPr>
        <w:t>）最高；</w:t>
      </w:r>
      <w:r>
        <w:rPr>
          <w:lang w:val="zh-CN" w:eastAsia="zh-CN"/>
        </w:rPr>
        <w:t>而</w:t>
      </w:r>
      <w:r>
        <w:rPr>
          <w:rFonts w:hint="eastAsia"/>
          <w:lang w:val="zh-CN" w:eastAsia="zh-CN"/>
        </w:rPr>
        <w:t>“</w:t>
      </w:r>
      <w:r>
        <w:rPr>
          <w:lang w:val="zh-CN" w:eastAsia="zh-CN"/>
        </w:rPr>
        <w:t>信息工程学院</w:t>
      </w:r>
      <w:r>
        <w:rPr>
          <w:rFonts w:hint="eastAsia"/>
          <w:lang w:val="zh-CN" w:eastAsia="zh-CN"/>
        </w:rPr>
        <w:t>”</w:t>
      </w:r>
      <w:r>
        <w:rPr>
          <w:lang w:val="zh-CN" w:eastAsia="zh-CN"/>
        </w:rPr>
        <w:t>毕业生的专业对口度（46.88%）相对较低</w:t>
      </w:r>
      <w:r>
        <w:rPr>
          <w:lang w:eastAsia="zh-CN"/>
        </w:rPr>
        <w:t>。</w:t>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167" w:name="_Toc129867509"/>
      <w:r>
        <w:rPr>
          <w:rFonts w:hint="eastAsia" w:eastAsia="黑体"/>
          <w:b/>
          <w:sz w:val="21"/>
          <w:lang w:eastAsia="zh-CN"/>
        </w:rPr>
        <w:t>表4.</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表2-2-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6</w:t>
      </w:r>
      <w:r>
        <w:rPr>
          <w:rFonts w:eastAsia="黑体"/>
          <w:b/>
          <w:sz w:val="21"/>
          <w:lang w:eastAsia="zh-CN"/>
        </w:rPr>
        <w:fldChar w:fldCharType="end"/>
      </w:r>
      <w:r>
        <w:rPr>
          <w:rFonts w:eastAsia="黑体"/>
          <w:b/>
          <w:sz w:val="21"/>
          <w:lang w:eastAsia="zh-CN"/>
        </w:rPr>
        <w:t xml:space="preserve">  </w:t>
      </w:r>
      <w:r>
        <w:rPr>
          <w:rFonts w:hint="eastAsia" w:eastAsia="黑体"/>
          <w:b/>
          <w:sz w:val="21"/>
          <w:lang w:eastAsia="zh-CN"/>
        </w:rPr>
        <w:t>2022届各学院毕业生专业对口情况分布</w:t>
      </w:r>
      <w:bookmarkEnd w:id="167"/>
    </w:p>
    <w:tbl>
      <w:tblPr>
        <w:tblStyle w:val="30"/>
        <w:tblW w:w="5469" w:type="pct"/>
        <w:jc w:val="cente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2649"/>
        <w:gridCol w:w="1214"/>
        <w:gridCol w:w="1083"/>
        <w:gridCol w:w="1328"/>
        <w:gridCol w:w="1214"/>
        <w:gridCol w:w="1328"/>
        <w:gridCol w:w="1215"/>
        <w:gridCol w:w="865"/>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jc w:val="center"/>
        </w:trPr>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b/>
                <w:bCs/>
                <w:snapToGrid/>
                <w:color w:val="CCE8CF"/>
                <w:sz w:val="21"/>
                <w:lang w:eastAsia="zh-CN"/>
              </w:rPr>
              <w:t>学院</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b/>
                <w:bCs/>
                <w:snapToGrid/>
                <w:color w:val="CCE8CF"/>
                <w:sz w:val="21"/>
                <w:lang w:eastAsia="zh-CN"/>
              </w:rPr>
              <w:t>很对口</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b/>
                <w:bCs/>
                <w:snapToGrid/>
                <w:color w:val="CCE8CF"/>
                <w:sz w:val="21"/>
                <w:lang w:eastAsia="zh-CN"/>
              </w:rPr>
              <w:t>对口</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b/>
                <w:bCs/>
                <w:snapToGrid/>
                <w:color w:val="CCE8CF"/>
                <w:sz w:val="21"/>
                <w:lang w:eastAsia="zh-CN"/>
              </w:rPr>
              <w:t>基本对口</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b/>
                <w:bCs/>
                <w:snapToGrid/>
                <w:color w:val="CCE8CF"/>
                <w:sz w:val="21"/>
                <w:lang w:eastAsia="zh-CN"/>
              </w:rPr>
              <w:t>不对口</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b/>
                <w:bCs/>
                <w:snapToGrid/>
                <w:color w:val="CCE8CF"/>
                <w:sz w:val="21"/>
                <w:lang w:eastAsia="zh-CN"/>
              </w:rPr>
              <w:t>很不对口</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b/>
                <w:bCs/>
                <w:snapToGrid/>
                <w:color w:val="CCE8CF"/>
                <w:sz w:val="21"/>
                <w:lang w:eastAsia="zh-CN"/>
              </w:rPr>
              <w:t>对口度</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b/>
                <w:bCs/>
                <w:snapToGrid/>
                <w:color w:val="CCE8CF"/>
                <w:sz w:val="21"/>
                <w:lang w:eastAsia="zh-CN"/>
              </w:rPr>
              <w:t>均值</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化学与材料工程学院</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10.17%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88.14%</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1.69%</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98.31%</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3.08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国际护理学院</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23.31%</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36.84%</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22.56%</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12.78%</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4.51%</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82.71%</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3.62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临床医药学院</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27.50%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28.33%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17.50%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6.67%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75.83%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3.44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城建学院</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18.18%</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18.18%</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34.09%</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20.45%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9.09%</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70.45%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3.16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机电工程学院</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25.93%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12.35%</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23.46%</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35.80%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2.47%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61.73%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3.24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健康科学学院</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6.90%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13.79%</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37.93%</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31.03%</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10.34%</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58.62%</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2.76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设计学院</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3.57%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14.29%</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39.29%</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32.14%</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10.71%</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57.14%</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2.68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财经学院</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12.39%</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25.66%</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18.58%</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35.40%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7.96%</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56.64%</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2.99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海事学院</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11.54%</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23.08%</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19.23%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23.08%</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23.08%</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53.85%</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2.77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信息工程学院</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12.50%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6.25%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28.13%</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40.63%</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12.50%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46.88%</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2.66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传媒与音乐学院</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*25.00%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*25.00%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*25.00%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*25.00%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*2.75</w:t>
            </w:r>
          </w:p>
        </w:tc>
      </w:tr>
    </w:tbl>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after="120" w:afterLines="50" w:line="240" w:lineRule="auto"/>
        <w:ind w:firstLineChars="0"/>
        <w:jc w:val="both"/>
        <w:textAlignment w:val="auto"/>
        <w:rPr>
          <w:rFonts w:ascii="黑体" w:hAnsi="黑体" w:eastAsia="黑体"/>
          <w:snapToGrid/>
          <w:sz w:val="21"/>
          <w:lang w:eastAsia="zh-CN"/>
        </w:rPr>
      </w:pPr>
      <w:r>
        <w:rPr>
          <w:rFonts w:hint="eastAsia" w:ascii="黑体" w:hAnsi="黑体" w:eastAsia="黑体"/>
          <w:snapToGrid/>
          <w:sz w:val="21"/>
          <w:lang w:eastAsia="zh-CN"/>
        </w:rPr>
        <w:t>注</w:t>
      </w:r>
      <w:r>
        <w:rPr>
          <w:rFonts w:ascii="黑体" w:hAnsi="黑体" w:eastAsia="黑体"/>
          <w:snapToGrid/>
          <w:sz w:val="21"/>
          <w:lang w:eastAsia="zh-CN"/>
        </w:rPr>
        <w:t>：</w:t>
      </w:r>
      <w:r>
        <w:rPr>
          <w:rFonts w:hint="eastAsia" w:ascii="黑体" w:hAnsi="黑体" w:eastAsia="黑体"/>
          <w:snapToGrid/>
          <w:sz w:val="21"/>
          <w:lang w:eastAsia="zh-CN"/>
        </w:rPr>
        <w:t>*学院样本量较小，其分析结果仅供参考，不纳入到报告结论的分析范畴。</w:t>
      </w:r>
    </w:p>
    <w:p>
      <w:pPr>
        <w:rPr>
          <w:snapToGrid/>
          <w:sz w:val="21"/>
          <w:lang w:eastAsia="zh-CN"/>
        </w:rPr>
      </w:pPr>
      <w:r>
        <w:rPr>
          <w:rFonts w:hint="eastAsia" w:ascii="仿宋" w:hAnsi="仿宋"/>
          <w:sz w:val="21"/>
          <w:lang w:eastAsia="zh-CN"/>
        </w:rPr>
        <w:t>数据来源：北京新锦成教育技术有限公司</w:t>
      </w:r>
    </w:p>
    <w:p>
      <w:pPr>
        <w:pStyle w:val="3"/>
        <w:ind w:firstLine="643"/>
        <w:rPr>
          <w:lang w:val="zh-CN" w:eastAsia="zh-CN"/>
        </w:rPr>
      </w:pPr>
      <w:bookmarkStart w:id="168" w:name="_Toc151887756"/>
      <w:r>
        <w:rPr>
          <w:rFonts w:hint="eastAsia"/>
          <w:lang w:val="zh-CN" w:eastAsia="zh-CN"/>
        </w:rPr>
        <w:t>（二）</w:t>
      </w:r>
      <w:r>
        <w:rPr>
          <w:lang w:val="zh-CN" w:eastAsia="zh-CN"/>
        </w:rPr>
        <w:t>各</w:t>
      </w:r>
      <w:r>
        <w:rPr>
          <w:rFonts w:hint="eastAsia"/>
          <w:lang w:val="zh-CN" w:eastAsia="zh-CN"/>
        </w:rPr>
        <w:t>专业专业对口度</w:t>
      </w:r>
      <w:bookmarkEnd w:id="168"/>
    </w:p>
    <w:p>
      <w:pPr>
        <w:ind w:firstLine="640"/>
        <w:rPr>
          <w:lang w:val="zh-CN" w:eastAsia="zh-CN"/>
        </w:rPr>
      </w:pPr>
      <w:r>
        <w:rPr>
          <w:rFonts w:hint="eastAsia"/>
          <w:lang w:val="zh-CN" w:eastAsia="zh-CN"/>
        </w:rPr>
        <w:t>各专业毕业生</w:t>
      </w:r>
      <w:r>
        <w:rPr>
          <w:lang w:val="zh-CN" w:eastAsia="zh-CN"/>
        </w:rPr>
        <w:t>专业对口度：</w:t>
      </w:r>
      <w:r>
        <w:rPr>
          <w:rFonts w:hint="eastAsia"/>
          <w:lang w:val="zh-CN" w:eastAsia="zh-CN"/>
        </w:rPr>
        <w:t>“食品营养与检测”“石油化工技术”“药品生产技术”等专业的毕业生专业对口度相对较高，均处于94.12%以上；而“旅游管理”“新能源汽车技术”“计算机网络技术”专业毕业生专业对口度相对较低，均处于45.45%及以下。</w:t>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169" w:name="_Toc129867511"/>
      <w:r>
        <w:rPr>
          <w:rFonts w:hint="eastAsia" w:eastAsia="黑体"/>
          <w:b/>
          <w:sz w:val="21"/>
          <w:lang w:eastAsia="zh-CN"/>
        </w:rPr>
        <w:t xml:space="preserve">表4. </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表2-2-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7</w:t>
      </w:r>
      <w:r>
        <w:rPr>
          <w:rFonts w:eastAsia="黑体"/>
          <w:b/>
          <w:sz w:val="21"/>
          <w:lang w:eastAsia="zh-CN"/>
        </w:rPr>
        <w:fldChar w:fldCharType="end"/>
      </w:r>
      <w:r>
        <w:rPr>
          <w:rFonts w:eastAsia="黑体"/>
          <w:b/>
          <w:sz w:val="21"/>
          <w:lang w:eastAsia="zh-CN"/>
        </w:rPr>
        <w:t xml:space="preserve">  </w:t>
      </w:r>
      <w:r>
        <w:rPr>
          <w:rFonts w:hint="eastAsia" w:eastAsia="黑体"/>
          <w:b/>
          <w:sz w:val="21"/>
          <w:lang w:eastAsia="zh-CN"/>
        </w:rPr>
        <w:t>2022届各专业毕业生专业对口情况分布</w:t>
      </w:r>
      <w:bookmarkEnd w:id="169"/>
    </w:p>
    <w:tbl>
      <w:tblPr>
        <w:tblStyle w:val="30"/>
        <w:tblW w:w="0" w:type="auto"/>
        <w:jc w:val="cente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3144"/>
        <w:gridCol w:w="1074"/>
        <w:gridCol w:w="969"/>
        <w:gridCol w:w="1074"/>
        <w:gridCol w:w="969"/>
        <w:gridCol w:w="969"/>
        <w:gridCol w:w="1074"/>
        <w:gridCol w:w="689"/>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jc w:val="center"/>
        </w:trPr>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Calibri"/>
                <w:b w:val="0"/>
                <w:bCs w:val="0"/>
                <w:snapToGrid/>
                <w:color w:val="CCE8CF"/>
                <w:sz w:val="21"/>
                <w:lang w:eastAsia="zh-CN"/>
              </w:rPr>
            </w:pPr>
            <w:r>
              <w:rPr>
                <w:rFonts w:hint="eastAsia" w:ascii="宋体" w:hAnsi="宋体" w:eastAsia="宋体"/>
                <w:b/>
                <w:bCs/>
                <w:snapToGrid/>
                <w:color w:val="CCE8CF"/>
                <w:sz w:val="21"/>
                <w:lang w:eastAsia="zh-CN"/>
              </w:rPr>
              <w:t>专业</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Calibri"/>
                <w:b w:val="0"/>
                <w:bCs w:val="0"/>
                <w:snapToGrid/>
                <w:color w:val="CCE8CF"/>
                <w:sz w:val="21"/>
                <w:lang w:eastAsia="zh-CN"/>
              </w:rPr>
            </w:pPr>
            <w:r>
              <w:rPr>
                <w:rFonts w:hint="eastAsia" w:ascii="宋体" w:hAnsi="宋体" w:eastAsia="宋体"/>
                <w:b/>
                <w:bCs/>
                <w:snapToGrid/>
                <w:color w:val="CCE8CF"/>
                <w:sz w:val="21"/>
                <w:lang w:eastAsia="zh-CN"/>
              </w:rPr>
              <w:t>很对口</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Calibri"/>
                <w:b w:val="0"/>
                <w:bCs w:val="0"/>
                <w:snapToGrid/>
                <w:color w:val="CCE8CF"/>
                <w:sz w:val="21"/>
                <w:lang w:eastAsia="zh-CN"/>
              </w:rPr>
            </w:pPr>
            <w:r>
              <w:rPr>
                <w:rFonts w:hint="eastAsia" w:ascii="宋体" w:hAnsi="宋体" w:eastAsia="宋体"/>
                <w:b/>
                <w:bCs/>
                <w:snapToGrid/>
                <w:color w:val="CCE8CF"/>
                <w:sz w:val="21"/>
                <w:lang w:eastAsia="zh-CN"/>
              </w:rPr>
              <w:t>对口</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bCs/>
                <w:snapToGrid/>
                <w:color w:val="CCE8CF"/>
                <w:sz w:val="21"/>
                <w:lang w:eastAsia="zh-CN"/>
              </w:rPr>
            </w:pPr>
            <w:r>
              <w:rPr>
                <w:rFonts w:hint="eastAsia" w:ascii="宋体" w:hAnsi="宋体" w:eastAsia="宋体"/>
                <w:b/>
                <w:bCs/>
                <w:snapToGrid/>
                <w:color w:val="CCE8CF"/>
                <w:sz w:val="21"/>
                <w:lang w:eastAsia="zh-CN"/>
              </w:rPr>
              <w:t>基本</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Calibri"/>
                <w:b w:val="0"/>
                <w:bCs w:val="0"/>
                <w:snapToGrid/>
                <w:color w:val="CCE8CF"/>
                <w:sz w:val="21"/>
                <w:lang w:eastAsia="zh-CN"/>
              </w:rPr>
            </w:pPr>
            <w:r>
              <w:rPr>
                <w:rFonts w:hint="eastAsia" w:ascii="宋体" w:hAnsi="宋体" w:eastAsia="宋体"/>
                <w:b/>
                <w:bCs/>
                <w:snapToGrid/>
                <w:color w:val="CCE8CF"/>
                <w:sz w:val="21"/>
                <w:lang w:eastAsia="zh-CN"/>
              </w:rPr>
              <w:t>对口</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Calibri"/>
                <w:b w:val="0"/>
                <w:bCs w:val="0"/>
                <w:snapToGrid/>
                <w:color w:val="CCE8CF"/>
                <w:sz w:val="21"/>
                <w:lang w:eastAsia="zh-CN"/>
              </w:rPr>
            </w:pPr>
            <w:r>
              <w:rPr>
                <w:rFonts w:hint="eastAsia" w:ascii="宋体" w:hAnsi="宋体" w:eastAsia="宋体"/>
                <w:b/>
                <w:bCs/>
                <w:snapToGrid/>
                <w:color w:val="CCE8CF"/>
                <w:sz w:val="21"/>
                <w:lang w:eastAsia="zh-CN"/>
              </w:rPr>
              <w:t>不对口</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bCs/>
                <w:snapToGrid/>
                <w:color w:val="CCE8CF"/>
                <w:sz w:val="21"/>
                <w:lang w:eastAsia="zh-CN"/>
              </w:rPr>
            </w:pPr>
            <w:r>
              <w:rPr>
                <w:rFonts w:hint="eastAsia" w:ascii="宋体" w:hAnsi="宋体" w:eastAsia="宋体"/>
                <w:b/>
                <w:bCs/>
                <w:snapToGrid/>
                <w:color w:val="CCE8CF"/>
                <w:sz w:val="21"/>
                <w:lang w:eastAsia="zh-CN"/>
              </w:rPr>
              <w:t>很不</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Calibri"/>
                <w:b w:val="0"/>
                <w:bCs w:val="0"/>
                <w:snapToGrid/>
                <w:color w:val="CCE8CF"/>
                <w:sz w:val="21"/>
                <w:lang w:eastAsia="zh-CN"/>
              </w:rPr>
            </w:pPr>
            <w:r>
              <w:rPr>
                <w:rFonts w:hint="eastAsia" w:ascii="宋体" w:hAnsi="宋体" w:eastAsia="宋体"/>
                <w:b/>
                <w:bCs/>
                <w:snapToGrid/>
                <w:color w:val="CCE8CF"/>
                <w:sz w:val="21"/>
                <w:lang w:eastAsia="zh-CN"/>
              </w:rPr>
              <w:t>对口</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Calibri"/>
                <w:b w:val="0"/>
                <w:bCs w:val="0"/>
                <w:snapToGrid/>
                <w:color w:val="CCE8CF"/>
                <w:sz w:val="21"/>
                <w:lang w:eastAsia="zh-CN"/>
              </w:rPr>
            </w:pPr>
            <w:r>
              <w:rPr>
                <w:rFonts w:hint="eastAsia" w:ascii="宋体" w:hAnsi="宋体" w:eastAsia="宋体"/>
                <w:b/>
                <w:bCs/>
                <w:snapToGrid/>
                <w:color w:val="CCE8CF"/>
                <w:sz w:val="21"/>
                <w:lang w:eastAsia="zh-CN"/>
              </w:rPr>
              <w:t>对口度</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Calibri"/>
                <w:b w:val="0"/>
                <w:bCs w:val="0"/>
                <w:snapToGrid/>
                <w:color w:val="CCE8CF"/>
                <w:sz w:val="21"/>
                <w:lang w:eastAsia="zh-CN"/>
              </w:rPr>
            </w:pPr>
            <w:r>
              <w:rPr>
                <w:rFonts w:hint="eastAsia" w:ascii="宋体" w:hAnsi="宋体" w:eastAsia="宋体"/>
                <w:b/>
                <w:bCs/>
                <w:snapToGrid/>
                <w:color w:val="CCE8CF"/>
                <w:sz w:val="21"/>
                <w:lang w:eastAsia="zh-CN"/>
              </w:rPr>
              <w:t>均值</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食品营养与检测</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17.86%</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82.14%</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100.00%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3.18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石油化工技术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7.14%</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92.86%</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100.00%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3.07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药品生产技术</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94.12%</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5.88%</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94.12%</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2.94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汽车检测与维修</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61.90%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9.52%</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19.05%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9.52%</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90.48%</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4.24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建筑工程技术</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16.67%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38.89%</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33.33%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5.56%</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5.56%</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88.89%</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3.56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电气自动化技术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16.67%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66.67%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16.67%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83.33%</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护理</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23.02%</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36.51%</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22.22%</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13.49%</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4.76%</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81.75%</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3.60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口腔医学技术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23.29%</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21.92%</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32.88%</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19.18%</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2.74%</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78.08%</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3.44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烹调工艺与营养</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18.18%</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45.45%</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9.09%</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18.18%</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9.09%</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72.73%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3.45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中药学</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34.04%</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17.02%</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21.28%</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14.89%</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12.77%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72.34%</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3.45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物流管理</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23.08%</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7.69%</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38.46%</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30.77%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69.23%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3.23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金融管理</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8.33%</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33.33%</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25.00%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25.00%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8.33%</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66.67%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3.08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风景园林设计</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33.33%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33.33%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33.33%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66.67%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2.67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健康管理</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18.75%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43.75%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31.25%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6.25%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62.50%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2.75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工程造价</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22.22%</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5.56%</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33.33%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27.78%</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11.11%</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61.11%</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环境艺术设计</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40.00%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60.00%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2.70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市场营销</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33.33%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22.22%</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33.33%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11.11%</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55.56%</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3.11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社区康复</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15.38%</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7.69%</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30.77%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30.77%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15.38%</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53.85%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2.77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航海技术</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15.38%</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23.08%</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15.38%</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15.38%</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30.77%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53.85%</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2.77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会计</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7.14%</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30.95%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14.29%</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38.10%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9.52%</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52.38%</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2.88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软件技术</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16.67%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8.33%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25.00%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2.92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工商企业管理</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7.69%</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23.08%</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15.38%</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46.15%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7.69%</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46.15%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2.77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计算机网络技术</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45.45%</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36.36%</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18.18%</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45.45%</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2.27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新能源汽车技术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16.13%</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6.45%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19.35%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58.06%</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41.94%</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2.81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旅游管理</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12.50%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12.50%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12.50%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12.50%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37.50%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2.63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工业机器人技术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*100.00%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*100.00%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助产</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*28.57%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*42.86%</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*28.57%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*100.00%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*4.00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体育运营与管理</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*100.00%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*100.00%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机电一体化技术</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*33.33%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*16.67%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*83.33%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大数据技术与应用</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*33.33%</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*16.67%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*16.67%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*16.67%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*16.67%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*66.67%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国际邮轮乘务管理</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*33.33%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*33.33%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*33.33%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*66.67%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机械设计与制造（中高职转段）</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*33.33%</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*33.33%</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*33.33%</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*66.67%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艺术设计</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*12.50%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*37.50%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*62.50%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*2.88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酒店管理</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*40.00%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*40.00%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*60.00%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机械设计与制造</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*3.50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建筑装饰工程技术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*3.50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轮机工程技术</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*25.00%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*25.00%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*2.75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音乐表演</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*25.00%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*25.00%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*25.00%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*25.00%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*2.75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建筑设计</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*33.33%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*16.67%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传播与策划</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*14.29%</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*28.57%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*42.86%</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*14.29%</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*42.86%</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*2.43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机电一体化技术（中高职转段）</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*16.67%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*16.67%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*16.67%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*33.33%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*2.50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水路运输与海事</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管理</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*25.00%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*25.00%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*25.00%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*2.25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电子商务</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*66.67%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*33.33%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*1.67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智能控制技术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*1.50</w:t>
            </w:r>
          </w:p>
        </w:tc>
      </w:tr>
    </w:tbl>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Chars="0"/>
        <w:jc w:val="both"/>
        <w:textAlignment w:val="auto"/>
        <w:rPr>
          <w:rFonts w:ascii="黑体" w:hAnsi="黑体" w:eastAsia="黑体"/>
          <w:snapToGrid/>
          <w:sz w:val="21"/>
          <w:lang w:eastAsia="zh-CN"/>
        </w:rPr>
      </w:pPr>
      <w:r>
        <w:rPr>
          <w:rFonts w:ascii="黑体" w:hAnsi="黑体" w:eastAsia="黑体"/>
          <w:snapToGrid/>
          <w:sz w:val="21"/>
          <w:lang w:eastAsia="zh-CN"/>
        </w:rPr>
        <w:t>注：</w:t>
      </w:r>
      <w:r>
        <w:rPr>
          <w:rFonts w:hint="eastAsia" w:ascii="黑体" w:hAnsi="黑体" w:eastAsia="黑体"/>
          <w:snapToGrid/>
          <w:sz w:val="21"/>
          <w:lang w:eastAsia="zh-CN"/>
        </w:rPr>
        <w:t>*</w:t>
      </w:r>
      <w:r>
        <w:rPr>
          <w:rFonts w:ascii="黑体" w:hAnsi="黑体" w:eastAsia="黑体"/>
          <w:snapToGrid/>
          <w:sz w:val="21"/>
          <w:lang w:eastAsia="zh-CN"/>
        </w:rPr>
        <w:t>专业样本量较小，其分析结果仅供参考，不纳入到报告结论的分析范畴。</w:t>
      </w:r>
    </w:p>
    <w:p>
      <w:pPr>
        <w:rPr>
          <w:snapToGrid/>
          <w:sz w:val="21"/>
          <w:lang w:eastAsia="zh-CN"/>
        </w:rPr>
      </w:pPr>
      <w:r>
        <w:rPr>
          <w:rFonts w:hint="eastAsia" w:ascii="仿宋" w:hAnsi="仿宋"/>
          <w:sz w:val="21"/>
          <w:lang w:eastAsia="zh-CN"/>
        </w:rPr>
        <w:t>数据来源：北京新锦成教育技术有限公司</w:t>
      </w:r>
    </w:p>
    <w:p>
      <w:pPr>
        <w:pStyle w:val="2"/>
        <w:ind w:firstLine="640"/>
        <w:rPr>
          <w:lang w:eastAsia="zh-CN"/>
        </w:rPr>
      </w:pPr>
      <w:bookmarkStart w:id="170" w:name="_Toc148372474"/>
      <w:bookmarkStart w:id="171" w:name="_Toc130307143"/>
      <w:bookmarkStart w:id="172" w:name="_Toc151887757"/>
      <w:r>
        <w:rPr>
          <w:rFonts w:hint="eastAsia"/>
          <w:lang w:eastAsia="zh-CN"/>
        </w:rPr>
        <w:t>六、工作满意度</w:t>
      </w:r>
      <w:bookmarkEnd w:id="170"/>
      <w:bookmarkEnd w:id="171"/>
      <w:bookmarkEnd w:id="172"/>
    </w:p>
    <w:p>
      <w:pPr>
        <w:ind w:firstLine="640"/>
        <w:rPr>
          <w:lang w:val="zh-CN" w:eastAsia="zh-CN"/>
        </w:rPr>
      </w:pPr>
      <w:r>
        <w:rPr>
          <w:lang w:val="zh-CN" w:eastAsia="zh-CN"/>
        </w:rPr>
        <w:t>毕业生对目前工作的满意度主要由三个方面组成：一是毕业生对于现实就业状况的评价，包括对目前的薪酬水平、工作内容的满意度；二是对于未来发展的预期评价，即对职业发展前景的满意度；三是对于就业状况的整体评价，即对目前工作的总体满意度。满意度评价</w:t>
      </w:r>
      <w:r>
        <w:rPr>
          <w:rFonts w:hint="eastAsia"/>
          <w:lang w:val="zh-CN" w:eastAsia="zh-CN"/>
        </w:rPr>
        <w:t>维度</w:t>
      </w:r>
      <w:r>
        <w:rPr>
          <w:lang w:val="zh-CN" w:eastAsia="zh-CN"/>
        </w:rPr>
        <w:t>包括“很不满意、不满意、</w:t>
      </w:r>
      <w:r>
        <w:rPr>
          <w:rFonts w:hint="eastAsia"/>
          <w:lang w:val="zh-CN" w:eastAsia="zh-CN"/>
        </w:rPr>
        <w:t>基本满意</w:t>
      </w:r>
      <w:r>
        <w:rPr>
          <w:lang w:val="zh-CN" w:eastAsia="zh-CN"/>
        </w:rPr>
        <w:t>、满意</w:t>
      </w:r>
      <w:r>
        <w:rPr>
          <w:rFonts w:hint="eastAsia"/>
          <w:lang w:val="zh-CN" w:eastAsia="zh-CN"/>
        </w:rPr>
        <w:t>、</w:t>
      </w:r>
      <w:r>
        <w:rPr>
          <w:lang w:val="zh-CN" w:eastAsia="zh-CN"/>
        </w:rPr>
        <w:t>很满意</w:t>
      </w:r>
      <w:r>
        <w:rPr>
          <w:rFonts w:hint="eastAsia"/>
          <w:lang w:val="zh-CN" w:eastAsia="zh-CN"/>
        </w:rPr>
        <w:t>、</w:t>
      </w:r>
      <w:r>
        <w:rPr>
          <w:lang w:val="zh-CN" w:eastAsia="zh-CN"/>
        </w:rPr>
        <w:t>无法评价”，满意度</w:t>
      </w:r>
      <w:r>
        <w:rPr>
          <w:rFonts w:hint="eastAsia"/>
          <w:lang w:val="zh-CN" w:eastAsia="zh-CN"/>
        </w:rPr>
        <w:t>为</w:t>
      </w:r>
      <w:r>
        <w:rPr>
          <w:lang w:val="zh-CN" w:eastAsia="zh-CN"/>
        </w:rPr>
        <w:t>选择“很满意”“满意”“</w:t>
      </w:r>
      <w:r>
        <w:rPr>
          <w:rFonts w:hint="eastAsia"/>
          <w:lang w:val="zh-CN" w:eastAsia="zh-CN"/>
        </w:rPr>
        <w:t>基本满意</w:t>
      </w:r>
      <w:r>
        <w:rPr>
          <w:lang w:val="zh-CN" w:eastAsia="zh-CN"/>
        </w:rPr>
        <w:t>”</w:t>
      </w:r>
      <w:r>
        <w:rPr>
          <w:rFonts w:hint="eastAsia"/>
          <w:lang w:val="zh-CN" w:eastAsia="zh-CN"/>
        </w:rPr>
        <w:t>的</w:t>
      </w:r>
      <w:r>
        <w:rPr>
          <w:lang w:val="zh-CN" w:eastAsia="zh-CN"/>
        </w:rPr>
        <w:t>人数占</w:t>
      </w:r>
      <w:r>
        <w:rPr>
          <w:rFonts w:hint="eastAsia"/>
          <w:lang w:val="zh-CN" w:eastAsia="zh-CN"/>
        </w:rPr>
        <w:t>“</w:t>
      </w:r>
      <w:r>
        <w:rPr>
          <w:lang w:val="zh-CN" w:eastAsia="zh-CN"/>
        </w:rPr>
        <w:t>回答此题总人数</w:t>
      </w:r>
      <w:r>
        <w:rPr>
          <w:rFonts w:hint="eastAsia"/>
          <w:lang w:val="zh-CN" w:eastAsia="zh-CN"/>
        </w:rPr>
        <w:t>-无法评价人数”</w:t>
      </w:r>
      <w:r>
        <w:rPr>
          <w:lang w:val="zh-CN" w:eastAsia="zh-CN"/>
        </w:rPr>
        <w:t>的比例；另外针对毕业生的反馈分别赋予1-5分</w:t>
      </w:r>
      <w:r>
        <w:rPr>
          <w:rFonts w:hint="eastAsia"/>
          <w:lang w:val="zh-CN" w:eastAsia="zh-CN"/>
        </w:rPr>
        <w:t>（“很满意”=</w:t>
      </w:r>
      <w:r>
        <w:rPr>
          <w:lang w:val="zh-CN" w:eastAsia="zh-CN"/>
        </w:rPr>
        <w:t>5</w:t>
      </w:r>
      <w:r>
        <w:rPr>
          <w:rFonts w:hint="eastAsia"/>
          <w:lang w:val="zh-CN" w:eastAsia="zh-CN"/>
        </w:rPr>
        <w:t>分</w:t>
      </w:r>
      <w:r>
        <w:rPr>
          <w:lang w:val="zh-CN" w:eastAsia="zh-CN"/>
        </w:rPr>
        <w:t>，“</w:t>
      </w:r>
      <w:r>
        <w:rPr>
          <w:rFonts w:hint="eastAsia"/>
          <w:lang w:val="zh-CN" w:eastAsia="zh-CN"/>
        </w:rPr>
        <w:t>很不</w:t>
      </w:r>
      <w:r>
        <w:rPr>
          <w:lang w:val="zh-CN" w:eastAsia="zh-CN"/>
        </w:rPr>
        <w:t>满意”=1</w:t>
      </w:r>
      <w:r>
        <w:rPr>
          <w:rFonts w:hint="eastAsia"/>
          <w:lang w:val="zh-CN" w:eastAsia="zh-CN"/>
        </w:rPr>
        <w:t>分）</w:t>
      </w:r>
      <w:r>
        <w:rPr>
          <w:lang w:val="zh-CN" w:eastAsia="zh-CN"/>
        </w:rPr>
        <w:t>，求出每个指标的平均值。</w:t>
      </w:r>
    </w:p>
    <w:p>
      <w:pPr>
        <w:ind w:firstLine="640"/>
        <w:rPr>
          <w:lang w:val="zh-CN" w:eastAsia="zh-CN"/>
        </w:rPr>
      </w:pPr>
      <w:r>
        <w:rPr>
          <w:rFonts w:hint="eastAsia"/>
          <w:lang w:val="zh-CN" w:eastAsia="zh-CN"/>
        </w:rPr>
        <w:t>总体工作</w:t>
      </w:r>
      <w:r>
        <w:rPr>
          <w:lang w:val="zh-CN" w:eastAsia="zh-CN"/>
        </w:rPr>
        <w:t>满意度：</w:t>
      </w:r>
      <w:r>
        <w:rPr>
          <w:rFonts w:hint="eastAsia"/>
          <w:lang w:val="zh-CN" w:eastAsia="zh-CN"/>
        </w:rPr>
        <w:t>毕业生对目前工作总体的满意度为91.23%；其中对“工作内容”的满意度相对较高，而对“工作薪酬”的满意度相对较低。从均值来看，毕业生对工作各方面的满意度均值集中在3.38-3.59分的区间内。</w:t>
      </w:r>
    </w:p>
    <w:p>
      <w:pPr>
        <w:pBdr>
          <w:top w:val="none" w:color="000000" w:sz="0" w:space="0"/>
          <w:left w:val="none" w:color="000000" w:sz="0" w:space="0"/>
          <w:bottom w:val="none" w:color="000000" w:sz="0" w:space="0"/>
          <w:right w:val="none" w:color="000000" w:sz="0" w:space="0"/>
          <w:between w:val="none" w:color="000000" w:sz="0" w:space="0"/>
        </w:pBdr>
        <w:spacing w:before="163" w:after="163" w:line="360" w:lineRule="auto"/>
        <w:ind w:firstLine="480"/>
        <w:jc w:val="both"/>
        <w:rPr>
          <w:rFonts w:eastAsia="宋体"/>
          <w:sz w:val="24"/>
          <w:szCs w:val="24"/>
          <w:lang w:val="zh-CN" w:eastAsia="zh-CN"/>
        </w:rPr>
      </w:pPr>
      <w:r>
        <w:rPr>
          <w:rFonts w:eastAsia="宋体"/>
          <w:sz w:val="24"/>
          <w:szCs w:val="24"/>
          <w:lang w:eastAsia="zh-CN"/>
        </w:rPr>
        <w:drawing>
          <wp:inline distT="0" distB="0" distL="0" distR="0">
            <wp:extent cx="4900295" cy="2035175"/>
            <wp:effectExtent l="0" t="0" r="14605" b="3175"/>
            <wp:docPr id="529" name="图表 5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bCs/>
          <w:sz w:val="21"/>
          <w:lang w:eastAsia="zh-CN"/>
        </w:rPr>
      </w:pPr>
      <w:bookmarkStart w:id="173" w:name="_Toc129867513"/>
      <w:r>
        <w:rPr>
          <w:rFonts w:hint="eastAsia" w:eastAsia="黑体"/>
          <w:b/>
          <w:sz w:val="21"/>
          <w:lang w:eastAsia="zh-CN"/>
        </w:rPr>
        <w:t xml:space="preserve">图4. </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图2-2-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14</w:t>
      </w:r>
      <w:r>
        <w:rPr>
          <w:rFonts w:eastAsia="黑体"/>
          <w:b/>
          <w:sz w:val="21"/>
          <w:lang w:eastAsia="zh-CN"/>
        </w:rPr>
        <w:fldChar w:fldCharType="end"/>
      </w:r>
      <w:r>
        <w:rPr>
          <w:rFonts w:eastAsia="黑体"/>
          <w:b/>
          <w:sz w:val="21"/>
          <w:lang w:eastAsia="zh-CN"/>
        </w:rPr>
        <w:t xml:space="preserve"> </w:t>
      </w:r>
      <w:r>
        <w:rPr>
          <w:rFonts w:eastAsia="黑体"/>
          <w:b/>
          <w:bCs/>
          <w:sz w:val="21"/>
          <w:lang w:eastAsia="zh-CN"/>
        </w:rPr>
        <w:t xml:space="preserve"> 2022届</w:t>
      </w:r>
      <w:r>
        <w:rPr>
          <w:rFonts w:hint="eastAsia" w:eastAsia="黑体"/>
          <w:b/>
          <w:bCs/>
          <w:sz w:val="21"/>
          <w:lang w:eastAsia="zh-CN"/>
        </w:rPr>
        <w:t>毕业生</w:t>
      </w:r>
      <w:r>
        <w:rPr>
          <w:rFonts w:eastAsia="黑体"/>
          <w:b/>
          <w:bCs/>
          <w:sz w:val="21"/>
          <w:lang w:eastAsia="zh-CN"/>
        </w:rPr>
        <w:t>对目前工作的满意度情况</w:t>
      </w:r>
      <w:bookmarkEnd w:id="173"/>
    </w:p>
    <w:p>
      <w:pPr>
        <w:rPr>
          <w:snapToGrid/>
          <w:sz w:val="21"/>
          <w:lang w:eastAsia="zh-CN"/>
        </w:rPr>
      </w:pPr>
      <w:r>
        <w:rPr>
          <w:rFonts w:hint="eastAsia" w:ascii="仿宋" w:hAnsi="仿宋"/>
          <w:sz w:val="21"/>
          <w:lang w:eastAsia="zh-CN"/>
        </w:rPr>
        <w:t>数据来源：北京新锦成教育技术有限公司</w:t>
      </w:r>
    </w:p>
    <w:p>
      <w:pPr>
        <w:pStyle w:val="25"/>
        <w:rPr>
          <w:lang w:val="en-US"/>
        </w:rPr>
      </w:pPr>
    </w:p>
    <w:p>
      <w:pPr>
        <w:ind w:firstLine="640"/>
        <w:rPr>
          <w:lang w:val="zh-CN" w:eastAsia="zh-CN"/>
        </w:rPr>
      </w:pPr>
      <w:r>
        <w:rPr>
          <w:rFonts w:hint="eastAsia"/>
          <w:lang w:val="zh-CN" w:eastAsia="zh-CN"/>
        </w:rPr>
        <w:t>本校2022届毕业生工作满意度（91.23%</w:t>
      </w:r>
      <w:r>
        <w:rPr>
          <w:lang w:val="zh-CN" w:eastAsia="zh-CN"/>
        </w:rPr>
        <w:t>）</w:t>
      </w:r>
      <w:r>
        <w:rPr>
          <w:rFonts w:hint="eastAsia"/>
          <w:lang w:val="zh-CN" w:eastAsia="zh-CN"/>
        </w:rPr>
        <w:t>比全国高校2022届毕业生工作满意度（</w:t>
      </w:r>
      <w:r>
        <w:rPr>
          <w:lang w:val="zh-CN" w:eastAsia="zh-CN"/>
        </w:rPr>
        <w:t>93.21%）低1.98</w:t>
      </w:r>
      <w:r>
        <w:rPr>
          <w:rFonts w:hint="eastAsia"/>
          <w:lang w:val="zh-CN" w:eastAsia="zh-CN"/>
        </w:rPr>
        <w:t>个百分点</w:t>
      </w:r>
      <w:r>
        <w:rPr>
          <w:lang w:val="zh-CN" w:eastAsia="zh-CN"/>
        </w:rPr>
        <w:t>。</w:t>
      </w:r>
      <w:r>
        <w:rPr>
          <w:rFonts w:hint="eastAsia"/>
          <w:lang w:val="zh-CN" w:eastAsia="zh-CN"/>
        </w:rPr>
        <w:t>其中，2</w:t>
      </w:r>
      <w:r>
        <w:rPr>
          <w:lang w:val="zh-CN" w:eastAsia="zh-CN"/>
        </w:rPr>
        <w:t>020-2021</w:t>
      </w:r>
      <w:r>
        <w:rPr>
          <w:rFonts w:hint="eastAsia"/>
          <w:lang w:val="zh-CN" w:eastAsia="zh-CN"/>
        </w:rPr>
        <w:t>届毕业生工作满意度分别为</w:t>
      </w:r>
      <w:r>
        <w:rPr>
          <w:lang w:val="zh-CN" w:eastAsia="zh-CN"/>
        </w:rPr>
        <w:t>90.57%</w:t>
      </w:r>
      <w:r>
        <w:rPr>
          <w:rFonts w:hint="eastAsia"/>
          <w:lang w:val="zh-CN" w:eastAsia="zh-CN"/>
        </w:rPr>
        <w:t>、</w:t>
      </w:r>
      <w:r>
        <w:rPr>
          <w:lang w:val="zh-CN" w:eastAsia="zh-CN"/>
        </w:rPr>
        <w:t>93.44%</w:t>
      </w:r>
      <w:r>
        <w:rPr>
          <w:rFonts w:hint="eastAsia"/>
          <w:lang w:val="zh-CN" w:eastAsia="zh-CN"/>
        </w:rPr>
        <w:t>。</w:t>
      </w:r>
    </w:p>
    <w:p>
      <w:pPr>
        <w:pBdr>
          <w:top w:val="none" w:color="000000" w:sz="0" w:space="0"/>
          <w:left w:val="none" w:color="000000" w:sz="0" w:space="0"/>
          <w:bottom w:val="none" w:color="000000" w:sz="0" w:space="0"/>
          <w:right w:val="none" w:color="000000" w:sz="0" w:space="0"/>
          <w:between w:val="none" w:color="000000" w:sz="0" w:space="0"/>
        </w:pBdr>
        <w:spacing w:before="163" w:after="163" w:line="360" w:lineRule="auto"/>
        <w:ind w:firstLine="480"/>
        <w:jc w:val="center"/>
        <w:rPr>
          <w:rFonts w:eastAsia="宋体"/>
          <w:sz w:val="24"/>
          <w:szCs w:val="24"/>
          <w:lang w:val="zh-CN" w:eastAsia="zh-CN"/>
        </w:rPr>
      </w:pPr>
      <w:r>
        <w:rPr>
          <w:rFonts w:eastAsia="宋体"/>
          <w:sz w:val="24"/>
          <w:lang w:eastAsia="zh-CN"/>
        </w:rPr>
        <w:drawing>
          <wp:inline distT="0" distB="0" distL="0" distR="0">
            <wp:extent cx="5109845" cy="2247900"/>
            <wp:effectExtent l="0" t="0" r="0" b="0"/>
            <wp:docPr id="530" name="图表 98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bCs/>
          <w:sz w:val="21"/>
          <w:lang w:eastAsia="zh-CN"/>
        </w:rPr>
      </w:pPr>
      <w:bookmarkStart w:id="174" w:name="_Toc129867514"/>
      <w:r>
        <w:rPr>
          <w:rFonts w:hint="eastAsia" w:eastAsia="黑体"/>
          <w:b/>
          <w:sz w:val="21"/>
          <w:lang w:eastAsia="zh-CN"/>
        </w:rPr>
        <w:t>图4.</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图2-2-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15</w:t>
      </w:r>
      <w:r>
        <w:rPr>
          <w:rFonts w:eastAsia="黑体"/>
          <w:b/>
          <w:sz w:val="21"/>
          <w:lang w:eastAsia="zh-CN"/>
        </w:rPr>
        <w:fldChar w:fldCharType="end"/>
      </w:r>
      <w:r>
        <w:rPr>
          <w:rFonts w:eastAsia="黑体"/>
          <w:b/>
          <w:bCs/>
          <w:sz w:val="21"/>
          <w:lang w:eastAsia="zh-CN"/>
        </w:rPr>
        <w:t xml:space="preserve">  </w:t>
      </w:r>
      <w:r>
        <w:rPr>
          <w:rFonts w:eastAsia="黑体"/>
          <w:b/>
          <w:sz w:val="21"/>
          <w:lang w:eastAsia="zh-CN"/>
        </w:rPr>
        <w:t>2020-2022届</w:t>
      </w:r>
      <w:r>
        <w:rPr>
          <w:rFonts w:hint="eastAsia" w:eastAsia="黑体"/>
          <w:b/>
          <w:bCs/>
          <w:sz w:val="21"/>
          <w:lang w:eastAsia="zh-CN"/>
        </w:rPr>
        <w:t>毕业生就业总体</w:t>
      </w:r>
      <w:r>
        <w:rPr>
          <w:rFonts w:eastAsia="黑体"/>
          <w:b/>
          <w:bCs/>
          <w:sz w:val="21"/>
          <w:lang w:eastAsia="zh-CN"/>
        </w:rPr>
        <w:t>满意度</w:t>
      </w:r>
      <w:r>
        <w:rPr>
          <w:rFonts w:hint="eastAsia" w:eastAsia="黑体"/>
          <w:b/>
          <w:bCs/>
          <w:sz w:val="21"/>
          <w:lang w:eastAsia="zh-CN"/>
        </w:rPr>
        <w:t>对比分析</w:t>
      </w:r>
      <w:bookmarkEnd w:id="174"/>
    </w:p>
    <w:p>
      <w:pPr>
        <w:rPr>
          <w:snapToGrid/>
          <w:sz w:val="21"/>
          <w:lang w:eastAsia="zh-CN"/>
        </w:rPr>
      </w:pPr>
      <w:r>
        <w:rPr>
          <w:rFonts w:hint="eastAsia" w:ascii="仿宋" w:hAnsi="仿宋"/>
          <w:sz w:val="21"/>
          <w:lang w:eastAsia="zh-CN"/>
        </w:rPr>
        <w:t>数据来源：北京新锦成教育技术有限公司</w:t>
      </w:r>
    </w:p>
    <w:p>
      <w:pPr>
        <w:pStyle w:val="3"/>
        <w:ind w:firstLine="643"/>
        <w:rPr>
          <w:lang w:val="zh-CN" w:eastAsia="zh-CN"/>
        </w:rPr>
      </w:pPr>
      <w:bookmarkStart w:id="175" w:name="_Toc151887758"/>
      <w:r>
        <w:rPr>
          <w:rFonts w:hint="eastAsia"/>
          <w:lang w:val="zh-CN" w:eastAsia="zh-CN"/>
        </w:rPr>
        <w:t>（一）</w:t>
      </w:r>
      <w:r>
        <w:rPr>
          <w:lang w:val="zh-CN" w:eastAsia="zh-CN"/>
        </w:rPr>
        <w:t>各</w:t>
      </w:r>
      <w:r>
        <w:rPr>
          <w:rFonts w:hint="eastAsia"/>
          <w:lang w:val="zh-CN" w:eastAsia="zh-CN"/>
        </w:rPr>
        <w:t>学院工作满意度</w:t>
      </w:r>
      <w:bookmarkEnd w:id="175"/>
    </w:p>
    <w:p>
      <w:pPr>
        <w:ind w:firstLine="640"/>
        <w:rPr>
          <w:lang w:val="zh-CN" w:eastAsia="zh-CN"/>
        </w:rPr>
      </w:pPr>
      <w:r>
        <w:rPr>
          <w:rFonts w:hint="eastAsia"/>
          <w:lang w:val="zh-CN" w:eastAsia="zh-CN"/>
        </w:rPr>
        <w:t>各学院工作</w:t>
      </w:r>
      <w:r>
        <w:rPr>
          <w:lang w:val="zh-CN" w:eastAsia="zh-CN"/>
        </w:rPr>
        <w:t>满意度：</w:t>
      </w:r>
      <w:r>
        <w:rPr>
          <w:rFonts w:hint="eastAsia"/>
          <w:lang w:val="zh-CN" w:eastAsia="zh-CN"/>
        </w:rPr>
        <w:t>各学院毕业生对目前就业的满意度均处于80.77%及以上，均值集中在3.12-3.79分的区间内（5分制</w:t>
      </w:r>
      <w:r>
        <w:rPr>
          <w:lang w:val="zh-CN" w:eastAsia="zh-CN"/>
        </w:rPr>
        <w:t>）。</w:t>
      </w:r>
      <w:r>
        <w:rPr>
          <w:rFonts w:hint="eastAsia"/>
          <w:lang w:val="zh-CN" w:eastAsia="zh-CN"/>
        </w:rPr>
        <w:t>工作满意度</w:t>
      </w:r>
      <w:r>
        <w:rPr>
          <w:lang w:val="zh-CN" w:eastAsia="zh-CN"/>
        </w:rPr>
        <w:t>最高的学院是</w:t>
      </w:r>
      <w:r>
        <w:rPr>
          <w:rFonts w:hint="eastAsia"/>
          <w:lang w:val="zh-CN" w:eastAsia="zh-CN"/>
        </w:rPr>
        <w:t>“化学与材料工程学院”，</w:t>
      </w:r>
      <w:r>
        <w:rPr>
          <w:lang w:val="zh-CN" w:eastAsia="zh-CN"/>
        </w:rPr>
        <w:t>满意度为</w:t>
      </w:r>
      <w:r>
        <w:rPr>
          <w:rFonts w:hint="eastAsia"/>
          <w:lang w:val="zh-CN" w:eastAsia="zh-CN"/>
        </w:rPr>
        <w:t>100.00%，</w:t>
      </w:r>
      <w:r>
        <w:rPr>
          <w:lang w:val="zh-CN" w:eastAsia="zh-CN"/>
        </w:rPr>
        <w:t>其次是</w:t>
      </w:r>
      <w:r>
        <w:rPr>
          <w:rFonts w:hint="eastAsia"/>
          <w:lang w:val="zh-CN" w:eastAsia="zh-CN"/>
        </w:rPr>
        <w:t>“设计学院”</w:t>
      </w:r>
      <w:r>
        <w:rPr>
          <w:lang w:val="zh-CN" w:eastAsia="zh-CN"/>
        </w:rPr>
        <w:t>，满意度为</w:t>
      </w:r>
      <w:r>
        <w:rPr>
          <w:rFonts w:hint="eastAsia"/>
          <w:lang w:val="zh-CN" w:eastAsia="zh-CN"/>
        </w:rPr>
        <w:t>96.55%。</w:t>
      </w:r>
    </w:p>
    <w:p>
      <w:pPr>
        <w:ind w:firstLine="422"/>
        <w:rPr>
          <w:rFonts w:eastAsia="黑体"/>
          <w:b/>
          <w:sz w:val="21"/>
          <w:lang w:eastAsia="zh-CN"/>
        </w:rPr>
      </w:pPr>
      <w:bookmarkStart w:id="176" w:name="_Toc129867515"/>
      <w:r>
        <w:rPr>
          <w:rFonts w:hint="eastAsia" w:eastAsia="黑体"/>
          <w:b/>
          <w:sz w:val="21"/>
          <w:lang w:eastAsia="zh-CN"/>
        </w:rPr>
        <w:br w:type="page"/>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r>
        <w:rPr>
          <w:rFonts w:hint="eastAsia" w:eastAsia="黑体"/>
          <w:b/>
          <w:sz w:val="21"/>
          <w:lang w:eastAsia="zh-CN"/>
        </w:rPr>
        <w:t xml:space="preserve">表4. </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表2-2-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8</w:t>
      </w:r>
      <w:r>
        <w:rPr>
          <w:rFonts w:eastAsia="黑体"/>
          <w:b/>
          <w:sz w:val="21"/>
          <w:lang w:eastAsia="zh-CN"/>
        </w:rPr>
        <w:fldChar w:fldCharType="end"/>
      </w:r>
      <w:r>
        <w:rPr>
          <w:rFonts w:eastAsia="黑体"/>
          <w:b/>
          <w:sz w:val="21"/>
          <w:lang w:eastAsia="zh-CN"/>
        </w:rPr>
        <w:t xml:space="preserve">  </w:t>
      </w:r>
      <w:r>
        <w:rPr>
          <w:rFonts w:hint="eastAsia" w:eastAsia="黑体"/>
          <w:b/>
          <w:sz w:val="21"/>
          <w:lang w:eastAsia="zh-CN"/>
        </w:rPr>
        <w:t>2022届各学院毕业生工作总体满意度评价</w:t>
      </w:r>
      <w:bookmarkEnd w:id="176"/>
    </w:p>
    <w:tbl>
      <w:tblPr>
        <w:tblStyle w:val="35"/>
        <w:tblW w:w="5000" w:type="pct"/>
        <w:tblInd w:w="0" w:type="dxa"/>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5423"/>
        <w:gridCol w:w="2765"/>
        <w:gridCol w:w="1774"/>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trPr>
        <w:tc>
          <w:tcPr>
            <w:tcW w:w="0" w:type="auto"/>
            <w:tcBorders>
              <w:top w:val="single" w:color="0F6FC6" w:sz="4" w:space="0"/>
              <w:left w:val="single" w:color="0F6FC6" w:sz="4" w:space="0"/>
              <w:bottom w:val="single" w:color="0F6FC6" w:sz="4" w:space="0"/>
              <w:right w:val="nil"/>
              <w:insideH w:val="single"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color w:val="CCE8CF"/>
                <w:sz w:val="21"/>
                <w:lang w:eastAsia="zh-CN"/>
              </w:rPr>
            </w:pPr>
            <w:r>
              <w:rPr>
                <w:rFonts w:hint="eastAsia" w:eastAsia="宋体"/>
                <w:b/>
                <w:bCs/>
                <w:snapToGrid/>
                <w:color w:val="CCE8CF"/>
                <w:sz w:val="21"/>
                <w:lang w:eastAsia="zh-CN"/>
              </w:rPr>
              <w:t>学院</w:t>
            </w:r>
          </w:p>
        </w:tc>
        <w:tc>
          <w:tcPr>
            <w:tcW w:w="0" w:type="auto"/>
            <w:tcBorders>
              <w:top w:val="single" w:color="0F6FC6" w:sz="4" w:space="0"/>
              <w:bottom w:val="single" w:color="0F6FC6" w:sz="4" w:space="0"/>
              <w:right w:val="nil"/>
              <w:insideH w:val="single"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color w:val="CCE8CF"/>
                <w:sz w:val="21"/>
                <w:lang w:eastAsia="zh-CN"/>
              </w:rPr>
            </w:pPr>
            <w:r>
              <w:rPr>
                <w:rFonts w:hint="eastAsia" w:eastAsia="宋体"/>
                <w:b/>
                <w:bCs/>
                <w:snapToGrid/>
                <w:color w:val="CCE8CF"/>
                <w:sz w:val="21"/>
                <w:lang w:eastAsia="zh-CN"/>
              </w:rPr>
              <w:t>满意度</w:t>
            </w:r>
          </w:p>
        </w:tc>
        <w:tc>
          <w:tcPr>
            <w:tcW w:w="0" w:type="auto"/>
            <w:tcBorders>
              <w:top w:val="single" w:color="0F6FC6" w:sz="4" w:space="0"/>
              <w:bottom w:val="single" w:color="0F6FC6" w:sz="4" w:space="0"/>
              <w:right w:val="single" w:color="0F6FC6" w:sz="4" w:space="0"/>
              <w:insideH w:val="single"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color w:val="CCE8CF"/>
                <w:sz w:val="21"/>
                <w:lang w:eastAsia="zh-CN"/>
              </w:rPr>
            </w:pPr>
            <w:r>
              <w:rPr>
                <w:rFonts w:hint="eastAsia" w:eastAsia="宋体"/>
                <w:b/>
                <w:bCs/>
                <w:snapToGrid/>
                <w:color w:val="CCE8CF"/>
                <w:sz w:val="21"/>
                <w:lang w:eastAsia="zh-CN"/>
              </w:rPr>
              <w:t>均值</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化学与材料工程学院</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eastAsia="宋体"/>
                <w:snapToGrid/>
                <w:sz w:val="21"/>
                <w:lang w:eastAsia="zh-CN"/>
              </w:rPr>
              <w:t>100.00%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eastAsia="宋体"/>
                <w:snapToGrid/>
                <w:sz w:val="21"/>
                <w:lang w:eastAsia="zh-CN"/>
              </w:rPr>
              <w:t>3.54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设计学院</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eastAsia="宋体"/>
                <w:snapToGrid/>
                <w:sz w:val="21"/>
                <w:lang w:eastAsia="zh-CN"/>
              </w:rPr>
              <w:t>96.55%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eastAsia="宋体"/>
                <w:snapToGrid/>
                <w:sz w:val="21"/>
                <w:lang w:eastAsia="zh-CN"/>
              </w:rPr>
              <w:t>3.48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机电工程学院</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eastAsia="宋体"/>
                <w:snapToGrid/>
                <w:sz w:val="21"/>
                <w:lang w:eastAsia="zh-CN"/>
              </w:rPr>
              <w:t>95.29%</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eastAsia="宋体"/>
                <w:snapToGrid/>
                <w:sz w:val="21"/>
                <w:lang w:eastAsia="zh-CN"/>
              </w:rPr>
              <w:t>3.79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财经学院</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eastAsia="宋体"/>
                <w:snapToGrid/>
                <w:sz w:val="21"/>
                <w:lang w:eastAsia="zh-CN"/>
              </w:rPr>
              <w:t>94.12%</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eastAsia="宋体"/>
                <w:snapToGrid/>
                <w:sz w:val="21"/>
                <w:lang w:eastAsia="zh-CN"/>
              </w:rPr>
              <w:t>3.66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国际护理学院</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eastAsia="宋体"/>
                <w:snapToGrid/>
                <w:sz w:val="21"/>
                <w:lang w:eastAsia="zh-CN"/>
              </w:rPr>
              <w:t>92.97%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eastAsia="宋体"/>
                <w:snapToGrid/>
                <w:sz w:val="21"/>
                <w:lang w:eastAsia="zh-CN"/>
              </w:rPr>
              <w:t>3.63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海事学院</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eastAsia="宋体"/>
                <w:snapToGrid/>
                <w:sz w:val="21"/>
                <w:lang w:eastAsia="zh-CN"/>
              </w:rPr>
              <w:t>92.00%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eastAsia="宋体"/>
                <w:snapToGrid/>
                <w:sz w:val="21"/>
                <w:lang w:eastAsia="zh-CN"/>
              </w:rPr>
              <w:t>3.68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城建学院</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eastAsia="宋体"/>
                <w:snapToGrid/>
                <w:sz w:val="21"/>
                <w:lang w:eastAsia="zh-CN"/>
              </w:rPr>
              <w:t>88.24%</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eastAsia="宋体"/>
                <w:snapToGrid/>
                <w:sz w:val="21"/>
                <w:lang w:eastAsia="zh-CN"/>
              </w:rPr>
              <w:t>3.63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信息工程学院</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eastAsia="宋体"/>
                <w:snapToGrid/>
                <w:sz w:val="21"/>
                <w:lang w:eastAsia="zh-CN"/>
              </w:rPr>
              <w:t>87.10%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eastAsia="宋体"/>
                <w:snapToGrid/>
                <w:sz w:val="21"/>
                <w:lang w:eastAsia="zh-CN"/>
              </w:rPr>
              <w:t>3.42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临床医药学院</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eastAsia="宋体"/>
                <w:snapToGrid/>
                <w:sz w:val="21"/>
                <w:lang w:eastAsia="zh-CN"/>
              </w:rPr>
              <w:t>81.25%</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eastAsia="宋体"/>
                <w:snapToGrid/>
                <w:sz w:val="21"/>
                <w:lang w:eastAsia="zh-CN"/>
              </w:rPr>
              <w:t>3.46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健康科学学院</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eastAsia="宋体"/>
                <w:snapToGrid/>
                <w:sz w:val="21"/>
                <w:lang w:eastAsia="zh-CN"/>
              </w:rPr>
              <w:t>80.77%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eastAsia="宋体"/>
                <w:snapToGrid/>
                <w:sz w:val="21"/>
                <w:lang w:eastAsia="zh-CN"/>
              </w:rPr>
              <w:t>3.12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传媒与音乐学院</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eastAsia="宋体"/>
                <w:snapToGrid/>
                <w:sz w:val="21"/>
                <w:lang w:eastAsia="zh-CN"/>
              </w:rPr>
              <w:t>*100.00%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eastAsia="宋体"/>
                <w:snapToGrid/>
                <w:sz w:val="21"/>
                <w:lang w:eastAsia="zh-CN"/>
              </w:rPr>
              <w:t>*4.33</w:t>
            </w:r>
          </w:p>
        </w:tc>
      </w:tr>
    </w:tbl>
    <w:p>
      <w:pPr>
        <w:pBdr>
          <w:top w:val="none" w:color="000000" w:sz="0" w:space="0"/>
          <w:left w:val="none" w:color="000000" w:sz="0" w:space="0"/>
          <w:bottom w:val="none" w:color="000000" w:sz="0" w:space="0"/>
          <w:right w:val="none" w:color="000000" w:sz="0" w:space="0"/>
          <w:between w:val="none" w:color="000000" w:sz="0" w:space="0"/>
        </w:pBdr>
        <w:spacing w:line="240" w:lineRule="auto"/>
        <w:jc w:val="both"/>
        <w:rPr>
          <w:rFonts w:ascii="黑体" w:hAnsi="黑体" w:eastAsia="黑体" w:cs="宋体"/>
          <w:sz w:val="21"/>
          <w:lang w:eastAsia="zh-CN"/>
        </w:rPr>
      </w:pPr>
      <w:r>
        <w:rPr>
          <w:rFonts w:hint="eastAsia" w:ascii="黑体" w:hAnsi="黑体" w:eastAsia="黑体" w:cs="宋体"/>
          <w:sz w:val="21"/>
          <w:lang w:eastAsia="zh-CN"/>
        </w:rPr>
        <w:t>注</w:t>
      </w:r>
      <w:r>
        <w:rPr>
          <w:rFonts w:ascii="黑体" w:hAnsi="黑体" w:eastAsia="黑体" w:cs="宋体"/>
          <w:sz w:val="21"/>
          <w:lang w:eastAsia="zh-CN"/>
        </w:rPr>
        <w:t>：</w:t>
      </w:r>
      <w:r>
        <w:rPr>
          <w:rFonts w:hint="eastAsia" w:ascii="黑体" w:hAnsi="黑体" w:eastAsia="黑体" w:cs="宋体"/>
          <w:sz w:val="21"/>
          <w:lang w:eastAsia="zh-CN"/>
        </w:rPr>
        <w:t>*学院样本量较小，其分析结果仅供参考，不纳入到报告结论的分析范畴。</w:t>
      </w:r>
    </w:p>
    <w:p>
      <w:pPr>
        <w:rPr>
          <w:snapToGrid/>
          <w:sz w:val="21"/>
          <w:lang w:eastAsia="zh-CN"/>
        </w:rPr>
      </w:pPr>
      <w:r>
        <w:rPr>
          <w:rFonts w:hint="eastAsia" w:ascii="仿宋" w:hAnsi="仿宋"/>
          <w:sz w:val="21"/>
          <w:lang w:eastAsia="zh-CN"/>
        </w:rPr>
        <w:t>数据来源：北京新锦成教育技术有限公司</w:t>
      </w:r>
    </w:p>
    <w:p>
      <w:pPr>
        <w:ind w:firstLine="640"/>
        <w:rPr>
          <w:lang w:val="zh-CN" w:eastAsia="zh-CN"/>
        </w:rPr>
      </w:pPr>
      <w:r>
        <w:rPr>
          <w:rFonts w:hint="eastAsia"/>
          <w:lang w:val="zh-CN" w:eastAsia="zh-CN"/>
        </w:rPr>
        <w:t>具体来看，工作内容满意度均值相对最高的学院是“机电工程学院”</w:t>
      </w:r>
      <w:r>
        <w:rPr>
          <w:lang w:val="zh-CN" w:eastAsia="zh-CN"/>
        </w:rPr>
        <w:t>，</w:t>
      </w:r>
      <w:r>
        <w:rPr>
          <w:rFonts w:hint="eastAsia"/>
          <w:lang w:val="zh-CN" w:eastAsia="zh-CN"/>
        </w:rPr>
        <w:t>职业发展前景满意度</w:t>
      </w:r>
      <w:r>
        <w:rPr>
          <w:lang w:val="zh-CN" w:eastAsia="zh-CN"/>
        </w:rPr>
        <w:t>均值相对较高的是</w:t>
      </w:r>
      <w:r>
        <w:rPr>
          <w:rFonts w:hint="eastAsia"/>
          <w:lang w:val="zh-CN" w:eastAsia="zh-CN"/>
        </w:rPr>
        <w:t>“城建学院”，工作薪酬满意度</w:t>
      </w:r>
      <w:r>
        <w:rPr>
          <w:lang w:val="zh-CN" w:eastAsia="zh-CN"/>
        </w:rPr>
        <w:t>最高的是</w:t>
      </w:r>
      <w:r>
        <w:rPr>
          <w:rFonts w:hint="eastAsia"/>
          <w:lang w:val="zh-CN" w:eastAsia="zh-CN"/>
        </w:rPr>
        <w:t>“机电工程学院”。具体分布</w:t>
      </w:r>
      <w:r>
        <w:rPr>
          <w:lang w:val="zh-CN" w:eastAsia="zh-CN"/>
        </w:rPr>
        <w:t>详见下表</w:t>
      </w:r>
      <w:r>
        <w:rPr>
          <w:rFonts w:hint="eastAsia"/>
          <w:lang w:val="zh-CN" w:eastAsia="zh-CN"/>
        </w:rPr>
        <w:t>。</w:t>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177" w:name="_Toc129867517"/>
      <w:r>
        <w:rPr>
          <w:rFonts w:hint="eastAsia" w:eastAsia="黑体"/>
          <w:b/>
          <w:sz w:val="21"/>
          <w:lang w:eastAsia="zh-CN"/>
        </w:rPr>
        <w:t>表4.</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表2-2-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9</w:t>
      </w:r>
      <w:r>
        <w:rPr>
          <w:rFonts w:eastAsia="黑体"/>
          <w:b/>
          <w:sz w:val="21"/>
          <w:lang w:eastAsia="zh-CN"/>
        </w:rPr>
        <w:fldChar w:fldCharType="end"/>
      </w:r>
      <w:r>
        <w:rPr>
          <w:rFonts w:eastAsia="黑体"/>
          <w:b/>
          <w:sz w:val="21"/>
          <w:lang w:eastAsia="zh-CN"/>
        </w:rPr>
        <w:t xml:space="preserve">  </w:t>
      </w:r>
      <w:r>
        <w:rPr>
          <w:rFonts w:hint="eastAsia" w:eastAsia="黑体"/>
          <w:b/>
          <w:sz w:val="21"/>
          <w:lang w:eastAsia="zh-CN"/>
        </w:rPr>
        <w:t>2022届各学院毕业生对工作各方面满意度评价（5分制）</w:t>
      </w:r>
      <w:bookmarkEnd w:id="177"/>
    </w:p>
    <w:tbl>
      <w:tblPr>
        <w:tblStyle w:val="35"/>
        <w:tblW w:w="5000" w:type="pct"/>
        <w:tblInd w:w="0" w:type="dxa"/>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3968"/>
        <w:gridCol w:w="1998"/>
        <w:gridCol w:w="1998"/>
        <w:gridCol w:w="1998"/>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trPr>
        <w:tc>
          <w:tcPr>
            <w:tcW w:w="0" w:type="auto"/>
            <w:tcBorders>
              <w:top w:val="single" w:color="0F6FC6" w:sz="4" w:space="0"/>
              <w:left w:val="single" w:color="0F6FC6" w:sz="4" w:space="0"/>
              <w:bottom w:val="single" w:color="0F6FC6" w:sz="4" w:space="0"/>
              <w:right w:val="nil"/>
              <w:insideH w:val="single"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color w:val="CCE8CF"/>
                <w:sz w:val="21"/>
                <w:lang w:eastAsia="zh-CN"/>
              </w:rPr>
            </w:pPr>
            <w:r>
              <w:rPr>
                <w:rFonts w:hint="eastAsia" w:eastAsia="宋体"/>
                <w:b/>
                <w:bCs/>
                <w:snapToGrid/>
                <w:color w:val="CCE8CF"/>
                <w:sz w:val="21"/>
                <w:lang w:eastAsia="zh-CN"/>
              </w:rPr>
              <w:t>学院</w:t>
            </w:r>
          </w:p>
        </w:tc>
        <w:tc>
          <w:tcPr>
            <w:tcW w:w="0" w:type="auto"/>
            <w:tcBorders>
              <w:top w:val="single" w:color="0F6FC6" w:sz="4" w:space="0"/>
              <w:bottom w:val="single" w:color="0F6FC6" w:sz="4" w:space="0"/>
              <w:right w:val="nil"/>
              <w:insideH w:val="single"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color w:val="CCE8CF"/>
                <w:sz w:val="21"/>
                <w:lang w:eastAsia="zh-CN"/>
              </w:rPr>
            </w:pPr>
            <w:r>
              <w:rPr>
                <w:rFonts w:hint="eastAsia" w:eastAsia="宋体"/>
                <w:b/>
                <w:bCs/>
                <w:snapToGrid/>
                <w:color w:val="CCE8CF"/>
                <w:sz w:val="21"/>
                <w:lang w:eastAsia="zh-CN"/>
              </w:rPr>
              <w:t>工作内容</w:t>
            </w:r>
          </w:p>
        </w:tc>
        <w:tc>
          <w:tcPr>
            <w:tcW w:w="0" w:type="auto"/>
            <w:tcBorders>
              <w:top w:val="single" w:color="0F6FC6" w:sz="4" w:space="0"/>
              <w:bottom w:val="single" w:color="0F6FC6" w:sz="4" w:space="0"/>
              <w:right w:val="nil"/>
              <w:insideH w:val="single"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color w:val="CCE8CF"/>
                <w:sz w:val="21"/>
                <w:lang w:eastAsia="zh-CN"/>
              </w:rPr>
            </w:pPr>
            <w:r>
              <w:rPr>
                <w:rFonts w:hint="eastAsia" w:eastAsia="宋体"/>
                <w:b/>
                <w:bCs/>
                <w:snapToGrid/>
                <w:color w:val="CCE8CF"/>
                <w:sz w:val="21"/>
                <w:lang w:eastAsia="zh-CN"/>
              </w:rPr>
              <w:t>职业前景</w:t>
            </w:r>
          </w:p>
        </w:tc>
        <w:tc>
          <w:tcPr>
            <w:tcW w:w="0" w:type="auto"/>
            <w:tcBorders>
              <w:top w:val="single" w:color="0F6FC6" w:sz="4" w:space="0"/>
              <w:bottom w:val="single" w:color="0F6FC6" w:sz="4" w:space="0"/>
              <w:right w:val="single" w:color="0F6FC6" w:sz="4" w:space="0"/>
              <w:insideH w:val="single"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color w:val="CCE8CF"/>
                <w:sz w:val="21"/>
                <w:lang w:eastAsia="zh-CN"/>
              </w:rPr>
            </w:pPr>
            <w:r>
              <w:rPr>
                <w:rFonts w:hint="eastAsia" w:eastAsia="宋体"/>
                <w:b/>
                <w:bCs/>
                <w:snapToGrid/>
                <w:color w:val="CCE8CF"/>
                <w:sz w:val="21"/>
                <w:lang w:eastAsia="zh-CN"/>
              </w:rPr>
              <w:t>工作薪酬</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机电工程学院</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3.75</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3.70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3.65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财经学院</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3.61</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3.52</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3.35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城建学院</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3.58</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3.72</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3.41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化学与材料工程学院</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3.56</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3.56</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3.62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国际护理学院</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3.46</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3.43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3.20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临床医药学院</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3.46</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3.51</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3.49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信息工程学院</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3.45</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3.55</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3.16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海事学院</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3.44</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3.28</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3.24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设计学院</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3.41</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3.48</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3.34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健康科学学院</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3.11</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2.96</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2.73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传媒与音乐学院</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*4.17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*4.33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*4.33</w:t>
            </w:r>
          </w:p>
        </w:tc>
      </w:tr>
    </w:tbl>
    <w:p>
      <w:pPr>
        <w:pBdr>
          <w:top w:val="none" w:color="000000" w:sz="0" w:space="0"/>
          <w:left w:val="none" w:color="000000" w:sz="0" w:space="0"/>
          <w:bottom w:val="none" w:color="000000" w:sz="0" w:space="0"/>
          <w:right w:val="none" w:color="000000" w:sz="0" w:space="0"/>
          <w:between w:val="none" w:color="000000" w:sz="0" w:space="0"/>
        </w:pBdr>
        <w:spacing w:line="240" w:lineRule="auto"/>
        <w:jc w:val="both"/>
        <w:rPr>
          <w:rFonts w:ascii="黑体" w:hAnsi="黑体" w:eastAsia="黑体" w:cs="宋体"/>
          <w:sz w:val="21"/>
          <w:lang w:eastAsia="zh-CN"/>
        </w:rPr>
      </w:pPr>
      <w:r>
        <w:rPr>
          <w:rFonts w:hint="eastAsia" w:ascii="黑体" w:hAnsi="黑体" w:eastAsia="黑体" w:cs="宋体"/>
          <w:sz w:val="21"/>
          <w:lang w:eastAsia="zh-CN"/>
        </w:rPr>
        <w:t>注</w:t>
      </w:r>
      <w:r>
        <w:rPr>
          <w:rFonts w:ascii="黑体" w:hAnsi="黑体" w:eastAsia="黑体" w:cs="宋体"/>
          <w:sz w:val="21"/>
          <w:lang w:eastAsia="zh-CN"/>
        </w:rPr>
        <w:t>：</w:t>
      </w:r>
      <w:r>
        <w:rPr>
          <w:rFonts w:hint="eastAsia" w:ascii="黑体" w:hAnsi="黑体" w:eastAsia="黑体" w:cs="宋体"/>
          <w:sz w:val="21"/>
          <w:lang w:eastAsia="zh-CN"/>
        </w:rPr>
        <w:t>*学院样本量较小，其分析结果仅供参考，不纳入到报告结论的分析范畴。</w:t>
      </w:r>
    </w:p>
    <w:p>
      <w:pPr>
        <w:rPr>
          <w:snapToGrid/>
          <w:sz w:val="21"/>
          <w:lang w:eastAsia="zh-CN"/>
        </w:rPr>
      </w:pPr>
      <w:r>
        <w:rPr>
          <w:rFonts w:hint="eastAsia" w:ascii="仿宋" w:hAnsi="仿宋"/>
          <w:sz w:val="21"/>
          <w:lang w:eastAsia="zh-CN"/>
        </w:rPr>
        <w:t>数据来源：北京新锦成教育技术有限公司</w:t>
      </w:r>
    </w:p>
    <w:p>
      <w:pPr>
        <w:pStyle w:val="3"/>
        <w:ind w:firstLine="643"/>
        <w:rPr>
          <w:lang w:val="zh-CN" w:eastAsia="zh-CN"/>
        </w:rPr>
      </w:pPr>
      <w:bookmarkStart w:id="178" w:name="_Toc151887759"/>
      <w:r>
        <w:rPr>
          <w:rFonts w:hint="eastAsia"/>
          <w:lang w:val="zh-CN" w:eastAsia="zh-CN"/>
        </w:rPr>
        <w:t>（二）</w:t>
      </w:r>
      <w:r>
        <w:rPr>
          <w:lang w:val="zh-CN" w:eastAsia="zh-CN"/>
        </w:rPr>
        <w:t>各</w:t>
      </w:r>
      <w:r>
        <w:rPr>
          <w:rFonts w:hint="eastAsia"/>
          <w:lang w:val="zh-CN" w:eastAsia="zh-CN"/>
        </w:rPr>
        <w:t>专业工作满意度</w:t>
      </w:r>
      <w:bookmarkEnd w:id="178"/>
    </w:p>
    <w:p>
      <w:pPr>
        <w:ind w:firstLine="640"/>
        <w:rPr>
          <w:lang w:val="zh-CN" w:eastAsia="zh-CN"/>
        </w:rPr>
      </w:pPr>
      <w:r>
        <w:rPr>
          <w:rFonts w:hint="eastAsia"/>
          <w:lang w:val="zh-CN" w:eastAsia="zh-CN"/>
        </w:rPr>
        <w:t>各专业工作满意度：2022届毕业生对目前就业的满意度相对较高的为“市场营销”“烹调工艺与营养”“药品生产技术”等专业，满意度均达到1</w:t>
      </w:r>
      <w:r>
        <w:rPr>
          <w:lang w:val="zh-CN" w:eastAsia="zh-CN"/>
        </w:rPr>
        <w:t>00.00%</w:t>
      </w:r>
      <w:r>
        <w:rPr>
          <w:rFonts w:hint="eastAsia"/>
          <w:lang w:val="zh-CN" w:eastAsia="zh-CN"/>
        </w:rPr>
        <w:t>。</w:t>
      </w:r>
      <w:bookmarkStart w:id="179" w:name="_Toc129867519"/>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r>
        <w:rPr>
          <w:rFonts w:hint="eastAsia" w:eastAsia="黑体"/>
          <w:b/>
          <w:sz w:val="21"/>
          <w:lang w:eastAsia="zh-CN"/>
        </w:rPr>
        <w:t xml:space="preserve">表2-2- </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表2-2-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10</w:t>
      </w:r>
      <w:r>
        <w:rPr>
          <w:rFonts w:eastAsia="黑体"/>
          <w:b/>
          <w:sz w:val="21"/>
          <w:lang w:eastAsia="zh-CN"/>
        </w:rPr>
        <w:fldChar w:fldCharType="end"/>
      </w:r>
      <w:r>
        <w:rPr>
          <w:rFonts w:eastAsia="黑体"/>
          <w:b/>
          <w:sz w:val="21"/>
          <w:lang w:eastAsia="zh-CN"/>
        </w:rPr>
        <w:t xml:space="preserve">  2022届</w:t>
      </w:r>
      <w:r>
        <w:rPr>
          <w:rFonts w:hint="eastAsia" w:eastAsia="黑体"/>
          <w:b/>
          <w:sz w:val="21"/>
          <w:lang w:eastAsia="zh-CN"/>
        </w:rPr>
        <w:t>各专业毕业生工作总体满意度评价</w:t>
      </w:r>
      <w:bookmarkEnd w:id="179"/>
    </w:p>
    <w:tbl>
      <w:tblPr>
        <w:tblStyle w:val="36"/>
        <w:tblW w:w="5000" w:type="pct"/>
        <w:tblInd w:w="0" w:type="dxa"/>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6392"/>
        <w:gridCol w:w="2175"/>
        <w:gridCol w:w="1395"/>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trPr>
        <w:tc>
          <w:tcPr>
            <w:tcW w:w="0" w:type="auto"/>
            <w:tcBorders>
              <w:top w:val="single" w:color="0F6FC6" w:sz="4" w:space="0"/>
              <w:left w:val="single" w:color="0F6FC6" w:sz="4" w:space="0"/>
              <w:bottom w:val="single" w:color="0F6FC6" w:sz="4" w:space="0"/>
              <w:right w:val="nil"/>
              <w:insideH w:val="single"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color w:val="FFFFFF"/>
                <w:sz w:val="21"/>
                <w:lang w:eastAsia="zh-CN"/>
              </w:rPr>
            </w:pPr>
            <w:r>
              <w:rPr>
                <w:rFonts w:eastAsia="宋体"/>
                <w:b/>
                <w:bCs/>
                <w:snapToGrid/>
                <w:color w:val="CCE8CF"/>
                <w:sz w:val="21"/>
                <w:lang w:eastAsia="zh-CN"/>
              </w:rPr>
              <w:t>专业</w:t>
            </w:r>
          </w:p>
        </w:tc>
        <w:tc>
          <w:tcPr>
            <w:tcW w:w="0" w:type="auto"/>
            <w:tcBorders>
              <w:top w:val="single" w:color="0F6FC6" w:sz="4" w:space="0"/>
              <w:bottom w:val="single" w:color="0F6FC6" w:sz="4" w:space="0"/>
              <w:right w:val="nil"/>
              <w:insideH w:val="single"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color w:val="FFFFFF"/>
                <w:sz w:val="21"/>
                <w:lang w:eastAsia="zh-CN"/>
              </w:rPr>
            </w:pPr>
            <w:r>
              <w:rPr>
                <w:rFonts w:eastAsia="宋体"/>
                <w:b/>
                <w:bCs/>
                <w:snapToGrid/>
                <w:color w:val="CCE8CF"/>
                <w:sz w:val="21"/>
                <w:lang w:eastAsia="zh-CN"/>
              </w:rPr>
              <w:t>满意度</w:t>
            </w:r>
          </w:p>
        </w:tc>
        <w:tc>
          <w:tcPr>
            <w:tcW w:w="0" w:type="auto"/>
            <w:tcBorders>
              <w:top w:val="single" w:color="0F6FC6" w:sz="4" w:space="0"/>
              <w:bottom w:val="single" w:color="0F6FC6" w:sz="4" w:space="0"/>
              <w:right w:val="single" w:color="0F6FC6" w:sz="4" w:space="0"/>
              <w:insideH w:val="single"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color w:val="FFFFFF"/>
                <w:sz w:val="21"/>
                <w:lang w:eastAsia="zh-CN"/>
              </w:rPr>
            </w:pPr>
            <w:r>
              <w:rPr>
                <w:rFonts w:eastAsia="宋体"/>
                <w:b/>
                <w:bCs/>
                <w:snapToGrid/>
                <w:color w:val="CCE8CF"/>
                <w:sz w:val="21"/>
                <w:lang w:eastAsia="zh-CN"/>
              </w:rPr>
              <w:t>均值</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市场营销</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100.00%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4.09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烹调工艺与营养</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100.00%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3.78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药品生产技术</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100.00%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3.74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软件技术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100.00%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3.64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食品营养与检测</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100.00%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3.61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风景园林设计</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100.00%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3.50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旅游管理</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100.00%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3.43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石油化工技术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100.00%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3.14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新能源汽车技术</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97.14%</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4.06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汽车检测与维修技术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94.74%</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4.11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护理</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93.39%</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3.65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工商企业管理</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93.33%</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3.73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物流管理</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93.33%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3.47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会计</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93.18%</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3.52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航海技术</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91.67%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4.00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金融管理</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91.67%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3.92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建筑工程技术</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90.48%</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3.71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环境艺术设计</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90.00%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3.10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口腔医学技术</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86.49%</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3.50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社区康复</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81.82%</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3.45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计算机网络技术</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81.82%</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3.18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工程造价</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80.95%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3.48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健康管理</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80.00%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2.87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中药学</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71.05%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3.39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音乐表演</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*100.00%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*4.33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建筑设计</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*100.00%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*4.00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水路运输与海事管理</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*100.00%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*4.00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智能控制技术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*100.00%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*4.00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传播与策划</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*100.00%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*3.88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机械设计与制造（中高职转段）</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*100.00%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*3.57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艺术设计</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*100.00%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*3.57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机械设计与制造</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*100.00%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*3.33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机电一体化技术</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*100.00%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*3.33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工业机器人技术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*100.00%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*3.00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建筑装饰工程技术</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*100.00%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*3.00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轮机工程技术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*100.00%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*3.00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体育运营与管理</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*100.00%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*3.00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电气自动化技术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*87.50%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*3.25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助产</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*85.71%</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*3.14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大数据技术与应用</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*83.33%</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*3.83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酒店管理</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*83.33%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*3.67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机电一体化技术（中高职转段）</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*80.00%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*2.80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国际邮轮乘务管理</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*66.67%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*3.33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电子商务</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*66.67%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snapToGrid/>
                <w:color w:val="00B050"/>
                <w:sz w:val="21"/>
                <w:lang w:eastAsia="zh-CN"/>
              </w:rPr>
            </w:pPr>
            <w:r>
              <w:rPr>
                <w:rFonts w:hint="eastAsia" w:eastAsia="宋体"/>
                <w:snapToGrid/>
                <w:sz w:val="21"/>
                <w:lang w:eastAsia="zh-CN"/>
              </w:rPr>
              <w:t>*2.67</w:t>
            </w:r>
          </w:p>
        </w:tc>
      </w:tr>
    </w:tbl>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after="120" w:afterLines="50" w:line="240" w:lineRule="auto"/>
        <w:ind w:firstLineChars="0"/>
        <w:jc w:val="both"/>
        <w:textAlignment w:val="auto"/>
        <w:rPr>
          <w:rFonts w:ascii="黑体" w:hAnsi="黑体" w:eastAsia="黑体"/>
          <w:snapToGrid/>
          <w:sz w:val="21"/>
          <w:lang w:eastAsia="zh-CN"/>
        </w:rPr>
      </w:pPr>
      <w:r>
        <w:rPr>
          <w:rFonts w:ascii="黑体" w:hAnsi="黑体" w:eastAsia="黑体"/>
          <w:snapToGrid/>
          <w:sz w:val="21"/>
          <w:lang w:eastAsia="zh-CN"/>
        </w:rPr>
        <w:t>注：</w:t>
      </w:r>
      <w:r>
        <w:rPr>
          <w:rFonts w:hint="eastAsia" w:ascii="黑体" w:hAnsi="黑体" w:eastAsia="黑体"/>
          <w:snapToGrid/>
          <w:sz w:val="21"/>
          <w:lang w:eastAsia="zh-CN"/>
        </w:rPr>
        <w:t>*</w:t>
      </w:r>
      <w:r>
        <w:rPr>
          <w:rFonts w:ascii="黑体" w:hAnsi="黑体" w:eastAsia="黑体"/>
          <w:snapToGrid/>
          <w:sz w:val="21"/>
          <w:lang w:eastAsia="zh-CN"/>
        </w:rPr>
        <w:t>专业样本量较小，其分析结果仅供参考，不纳入到报告结论的分析范围。</w:t>
      </w:r>
    </w:p>
    <w:p>
      <w:pPr>
        <w:rPr>
          <w:snapToGrid/>
          <w:sz w:val="21"/>
          <w:lang w:eastAsia="zh-CN"/>
        </w:rPr>
      </w:pPr>
      <w:r>
        <w:rPr>
          <w:rFonts w:hint="eastAsia" w:ascii="仿宋" w:hAnsi="仿宋"/>
          <w:sz w:val="21"/>
          <w:lang w:eastAsia="zh-CN"/>
        </w:rPr>
        <w:t>数据来源：北京新锦成教育技术有限公司</w:t>
      </w:r>
    </w:p>
    <w:p>
      <w:pPr>
        <w:ind w:firstLine="640"/>
        <w:rPr>
          <w:lang w:val="zh-CN" w:eastAsia="zh-CN"/>
        </w:rPr>
      </w:pPr>
      <w:r>
        <w:rPr>
          <w:rFonts w:hint="eastAsia"/>
          <w:lang w:val="zh-CN" w:eastAsia="zh-CN"/>
        </w:rPr>
        <w:t>各专业毕业生</w:t>
      </w:r>
      <w:r>
        <w:rPr>
          <w:lang w:val="zh-CN" w:eastAsia="zh-CN"/>
        </w:rPr>
        <w:t>对目前</w:t>
      </w:r>
      <w:r>
        <w:rPr>
          <w:rFonts w:hint="eastAsia"/>
          <w:lang w:val="zh-CN" w:eastAsia="zh-CN"/>
        </w:rPr>
        <w:t>工作</w:t>
      </w:r>
      <w:r>
        <w:rPr>
          <w:lang w:val="zh-CN" w:eastAsia="zh-CN"/>
        </w:rPr>
        <w:t>各方面的满意度</w:t>
      </w:r>
      <w:r>
        <w:rPr>
          <w:rFonts w:hint="eastAsia"/>
          <w:lang w:val="zh-CN" w:eastAsia="zh-CN"/>
        </w:rPr>
        <w:t>评价</w:t>
      </w:r>
      <w:r>
        <w:rPr>
          <w:lang w:val="zh-CN" w:eastAsia="zh-CN"/>
        </w:rPr>
        <w:t>如下表</w:t>
      </w:r>
      <w:r>
        <w:rPr>
          <w:rFonts w:hint="eastAsia"/>
          <w:lang w:val="zh-CN" w:eastAsia="zh-CN"/>
        </w:rPr>
        <w:t>所示</w:t>
      </w:r>
      <w:r>
        <w:rPr>
          <w:lang w:val="zh-CN" w:eastAsia="zh-CN"/>
        </w:rPr>
        <w:t>。</w:t>
      </w:r>
      <w:r>
        <w:rPr>
          <w:rFonts w:hint="eastAsia"/>
          <w:lang w:val="zh-CN" w:eastAsia="zh-CN"/>
        </w:rPr>
        <w:t>工作内容满意度均值相对最高的专业是“汽车检测与维修技术”，职业发展前景满意度均值相对最高的专业是“市场营销”</w:t>
      </w:r>
      <w:r>
        <w:rPr>
          <w:lang w:val="zh-CN" w:eastAsia="zh-CN"/>
        </w:rPr>
        <w:t>，</w:t>
      </w:r>
      <w:r>
        <w:rPr>
          <w:rFonts w:hint="eastAsia"/>
          <w:lang w:val="zh-CN" w:eastAsia="zh-CN"/>
        </w:rPr>
        <w:t>工作薪酬满意度均值相对最高的专业是“汽车检测与维修技术”</w:t>
      </w:r>
      <w:r>
        <w:rPr>
          <w:lang w:val="zh-CN" w:eastAsia="zh-CN"/>
        </w:rPr>
        <w:t>。</w:t>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180" w:name="_Toc129867521"/>
      <w:r>
        <w:rPr>
          <w:rFonts w:hint="eastAsia" w:eastAsia="黑体"/>
          <w:b/>
          <w:sz w:val="21"/>
          <w:lang w:eastAsia="zh-CN"/>
        </w:rPr>
        <w:t>表4.</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表2-2-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11</w:t>
      </w:r>
      <w:r>
        <w:rPr>
          <w:rFonts w:eastAsia="黑体"/>
          <w:b/>
          <w:sz w:val="21"/>
          <w:lang w:eastAsia="zh-CN"/>
        </w:rPr>
        <w:fldChar w:fldCharType="end"/>
      </w:r>
      <w:r>
        <w:rPr>
          <w:rFonts w:eastAsia="黑体"/>
          <w:b/>
          <w:sz w:val="21"/>
          <w:lang w:eastAsia="zh-CN"/>
        </w:rPr>
        <w:t xml:space="preserve">  2022届</w:t>
      </w:r>
      <w:r>
        <w:rPr>
          <w:rFonts w:hint="eastAsia" w:eastAsia="黑体"/>
          <w:b/>
          <w:sz w:val="21"/>
          <w:lang w:eastAsia="zh-CN"/>
        </w:rPr>
        <w:t>各专业毕业生对工作各方面满意度评价</w:t>
      </w:r>
      <w:bookmarkEnd w:id="180"/>
    </w:p>
    <w:tbl>
      <w:tblPr>
        <w:tblStyle w:val="36"/>
        <w:tblW w:w="5000" w:type="pct"/>
        <w:tblInd w:w="0" w:type="dxa"/>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4961"/>
        <w:gridCol w:w="1667"/>
        <w:gridCol w:w="1667"/>
        <w:gridCol w:w="1667"/>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trPr>
        <w:tc>
          <w:tcPr>
            <w:tcW w:w="0" w:type="auto"/>
            <w:tcBorders>
              <w:top w:val="single" w:color="0F6FC6" w:sz="4" w:space="0"/>
              <w:left w:val="single" w:color="0F6FC6" w:sz="4" w:space="0"/>
              <w:bottom w:val="single" w:color="0F6FC6" w:sz="4" w:space="0"/>
              <w:right w:val="nil"/>
              <w:insideH w:val="single"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color w:val="FFFFFF"/>
                <w:sz w:val="21"/>
                <w:lang w:eastAsia="zh-CN"/>
              </w:rPr>
            </w:pPr>
            <w:r>
              <w:rPr>
                <w:rFonts w:eastAsia="宋体"/>
                <w:b/>
                <w:bCs/>
                <w:snapToGrid/>
                <w:color w:val="CCE8CF"/>
                <w:sz w:val="21"/>
                <w:lang w:eastAsia="zh-CN"/>
              </w:rPr>
              <w:t>专业</w:t>
            </w:r>
          </w:p>
        </w:tc>
        <w:tc>
          <w:tcPr>
            <w:tcW w:w="0" w:type="auto"/>
            <w:tcBorders>
              <w:top w:val="single" w:color="0F6FC6" w:sz="4" w:space="0"/>
              <w:bottom w:val="single" w:color="0F6FC6" w:sz="4" w:space="0"/>
              <w:right w:val="nil"/>
              <w:insideH w:val="single"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color w:val="FFFFFF"/>
                <w:sz w:val="21"/>
                <w:lang w:eastAsia="zh-CN"/>
              </w:rPr>
            </w:pPr>
            <w:r>
              <w:rPr>
                <w:rFonts w:eastAsia="宋体"/>
                <w:b/>
                <w:bCs/>
                <w:snapToGrid/>
                <w:color w:val="CCE8CF"/>
                <w:sz w:val="21"/>
                <w:lang w:eastAsia="zh-CN"/>
              </w:rPr>
              <w:t>工作内容</w:t>
            </w:r>
          </w:p>
        </w:tc>
        <w:tc>
          <w:tcPr>
            <w:tcW w:w="0" w:type="auto"/>
            <w:tcBorders>
              <w:top w:val="single" w:color="0F6FC6" w:sz="4" w:space="0"/>
              <w:bottom w:val="single" w:color="0F6FC6" w:sz="4" w:space="0"/>
              <w:right w:val="nil"/>
              <w:insideH w:val="single"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color w:val="FFFFFF"/>
                <w:sz w:val="21"/>
                <w:lang w:eastAsia="zh-CN"/>
              </w:rPr>
            </w:pPr>
            <w:r>
              <w:rPr>
                <w:rFonts w:eastAsia="宋体"/>
                <w:b/>
                <w:bCs/>
                <w:snapToGrid/>
                <w:color w:val="CCE8CF"/>
                <w:sz w:val="21"/>
                <w:lang w:eastAsia="zh-CN"/>
              </w:rPr>
              <w:t>职业前景</w:t>
            </w:r>
          </w:p>
        </w:tc>
        <w:tc>
          <w:tcPr>
            <w:tcW w:w="0" w:type="auto"/>
            <w:tcBorders>
              <w:top w:val="single" w:color="0F6FC6" w:sz="4" w:space="0"/>
              <w:bottom w:val="single" w:color="0F6FC6" w:sz="4" w:space="0"/>
              <w:right w:val="single" w:color="0F6FC6" w:sz="4" w:space="0"/>
              <w:insideH w:val="single"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color w:val="FFFFFF"/>
                <w:sz w:val="21"/>
                <w:lang w:eastAsia="zh-CN"/>
              </w:rPr>
            </w:pPr>
            <w:r>
              <w:rPr>
                <w:rFonts w:eastAsia="宋体"/>
                <w:b/>
                <w:bCs/>
                <w:snapToGrid/>
                <w:color w:val="CCE8CF"/>
                <w:sz w:val="21"/>
                <w:lang w:eastAsia="zh-CN"/>
              </w:rPr>
              <w:t>工作薪酬</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汽车检测与维修技术</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4.16</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4.00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4.05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市场营销</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4.09</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4.18</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4.00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新能源汽车技术</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3.94</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3.91</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3.86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金融管理</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3.92</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3.92</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3.92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工商企业管理</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3.80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3.73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3.60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食品营养与检测</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3.71</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3.79</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3.96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烹调工艺与营养</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3.67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3.56</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3.44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航海技术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3.67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3.42</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3.50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建筑工程技术</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3.62</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3.76</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3.62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药品生产技术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3.58</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3.47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3.37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软件技术</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3.55</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3.73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护理</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3.48</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3.45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3.22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物流管理</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3.47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3.33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3.36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口腔医学技术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3.47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3.61</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3.51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社区康复</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3.45</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3.27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3.18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计算机网络技术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3.45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3.45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工程造价</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3.45</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3.58</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3.20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会计</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3.43</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3.26</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2.93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中药学</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3.42</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3.33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3.45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旅游管理</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3.29</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3.29</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3.29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风景园林设计</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3.25</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3.25</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3.50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石油化工技术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3.21</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3.21</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3.29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环境艺术设计</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3.10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3.30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3.20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健康管理</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2.88</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2.73</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2.40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音乐表演</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*4.17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*4.33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*4.33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建筑设计</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*4.00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*4.17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*3.71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水路运输与海事管理</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*4.00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*4.00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*3.75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智能控制技术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*4.00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*4.00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*4.00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传播与策划</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*3.88</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*3.75</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*3.75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大数据技术与应用</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*3.83</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*3.83</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*3.83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电气自动化技术</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*3.50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*3.43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*3.25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酒店管理</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*3.50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*3.50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机械设计与制造（中高职转段）</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*3.43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*3.29</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*3.29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艺术设计</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*3.43</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*3.57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机械设计与制造</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*3.33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*3.33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机电一体化技术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*3.17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*3.17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助产</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*3.14</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*3.14</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*2.86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国际邮轮乘务管理</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*2.67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*2.33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工业机器人技术</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体育运营与管理</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*3.50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*2.50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机电一体化技术（中高职转段）</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*2.80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*2.80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轮机工程技术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*2.75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*2.50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电子商务</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*2.33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*2.67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建筑装饰工程技术</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*2.00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*3.00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snapToGrid/>
                <w:sz w:val="21"/>
                <w:lang w:eastAsia="zh-CN"/>
              </w:rPr>
            </w:pPr>
            <w:r>
              <w:rPr>
                <w:rFonts w:hint="eastAsia" w:eastAsia="宋体"/>
                <w:snapToGrid/>
                <w:sz w:val="21"/>
                <w:lang w:eastAsia="zh-CN"/>
              </w:rPr>
              <w:t>*1.00</w:t>
            </w:r>
          </w:p>
        </w:tc>
      </w:tr>
    </w:tbl>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Chars="0"/>
        <w:jc w:val="both"/>
        <w:textAlignment w:val="auto"/>
        <w:rPr>
          <w:rFonts w:ascii="黑体" w:hAnsi="黑体" w:eastAsia="黑体"/>
          <w:snapToGrid/>
          <w:sz w:val="21"/>
          <w:lang w:eastAsia="zh-CN"/>
        </w:rPr>
      </w:pPr>
      <w:r>
        <w:rPr>
          <w:rFonts w:ascii="黑体" w:hAnsi="黑体" w:eastAsia="黑体"/>
          <w:snapToGrid/>
          <w:sz w:val="21"/>
          <w:lang w:eastAsia="zh-CN"/>
        </w:rPr>
        <w:t>注：</w:t>
      </w:r>
      <w:r>
        <w:rPr>
          <w:rFonts w:hint="eastAsia" w:ascii="黑体" w:hAnsi="黑体" w:eastAsia="黑体"/>
          <w:snapToGrid/>
          <w:sz w:val="21"/>
          <w:lang w:eastAsia="zh-CN"/>
        </w:rPr>
        <w:t>*</w:t>
      </w:r>
      <w:r>
        <w:rPr>
          <w:rFonts w:ascii="黑体" w:hAnsi="黑体" w:eastAsia="黑体"/>
          <w:snapToGrid/>
          <w:sz w:val="21"/>
          <w:lang w:eastAsia="zh-CN"/>
        </w:rPr>
        <w:t>专业样本量较小，其分析结果仅供参考，不纳入到报告结论的分析范围。</w:t>
      </w:r>
    </w:p>
    <w:p>
      <w:pPr>
        <w:rPr>
          <w:snapToGrid/>
          <w:sz w:val="21"/>
          <w:lang w:eastAsia="zh-CN"/>
        </w:rPr>
      </w:pPr>
      <w:r>
        <w:rPr>
          <w:rFonts w:hint="eastAsia" w:ascii="仿宋" w:hAnsi="仿宋"/>
          <w:sz w:val="21"/>
          <w:lang w:eastAsia="zh-CN"/>
        </w:rPr>
        <w:t>数据来源：北京新锦成教育技术有限公司</w:t>
      </w:r>
    </w:p>
    <w:p>
      <w:pPr>
        <w:pStyle w:val="2"/>
        <w:ind w:firstLine="640"/>
        <w:rPr>
          <w:lang w:eastAsia="zh-CN"/>
        </w:rPr>
      </w:pPr>
      <w:bookmarkStart w:id="181" w:name="_Toc130307144"/>
      <w:bookmarkStart w:id="182" w:name="_Toc148372475"/>
      <w:bookmarkStart w:id="183" w:name="_Toc151887760"/>
      <w:r>
        <w:rPr>
          <w:rFonts w:hint="eastAsia"/>
          <w:lang w:eastAsia="zh-CN"/>
        </w:rPr>
        <w:t>七</w:t>
      </w:r>
      <w:r>
        <w:rPr>
          <w:lang w:eastAsia="zh-CN"/>
        </w:rPr>
        <w:t>、</w:t>
      </w:r>
      <w:r>
        <w:rPr>
          <w:rFonts w:hint="eastAsia"/>
          <w:lang w:eastAsia="zh-CN"/>
        </w:rPr>
        <w:t>职业</w:t>
      </w:r>
      <w:r>
        <w:rPr>
          <w:lang w:eastAsia="zh-CN"/>
        </w:rPr>
        <w:t>期待吻合度</w:t>
      </w:r>
      <w:bookmarkEnd w:id="181"/>
      <w:bookmarkEnd w:id="182"/>
      <w:bookmarkEnd w:id="183"/>
    </w:p>
    <w:p>
      <w:pPr>
        <w:ind w:firstLine="640"/>
        <w:rPr>
          <w:lang w:val="zh-CN" w:eastAsia="zh-CN"/>
        </w:rPr>
      </w:pPr>
      <w:r>
        <w:rPr>
          <w:lang w:val="zh-CN" w:eastAsia="zh-CN"/>
        </w:rPr>
        <w:t>调查</w:t>
      </w:r>
      <w:r>
        <w:rPr>
          <w:rFonts w:hint="eastAsia"/>
          <w:lang w:val="zh-CN" w:eastAsia="zh-CN"/>
        </w:rPr>
        <w:t>了解</w:t>
      </w:r>
      <w:r>
        <w:rPr>
          <w:lang w:val="zh-CN" w:eastAsia="zh-CN"/>
        </w:rPr>
        <w:t>毕业生目前工作</w:t>
      </w:r>
      <w:r>
        <w:rPr>
          <w:rFonts w:hint="eastAsia"/>
          <w:lang w:val="zh-CN" w:eastAsia="zh-CN"/>
        </w:rPr>
        <w:t>与自身</w:t>
      </w:r>
      <w:r>
        <w:rPr>
          <w:lang w:val="zh-CN" w:eastAsia="zh-CN"/>
        </w:rPr>
        <w:t>职业</w:t>
      </w:r>
      <w:r>
        <w:rPr>
          <w:rFonts w:hint="eastAsia"/>
          <w:lang w:val="zh-CN" w:eastAsia="zh-CN"/>
        </w:rPr>
        <w:t>期待</w:t>
      </w:r>
      <w:r>
        <w:rPr>
          <w:lang w:val="zh-CN" w:eastAsia="zh-CN"/>
        </w:rPr>
        <w:t>的</w:t>
      </w:r>
      <w:r>
        <w:rPr>
          <w:rFonts w:hint="eastAsia"/>
          <w:lang w:val="zh-CN" w:eastAsia="zh-CN"/>
        </w:rPr>
        <w:t>吻合</w:t>
      </w:r>
      <w:r>
        <w:rPr>
          <w:lang w:val="zh-CN" w:eastAsia="zh-CN"/>
        </w:rPr>
        <w:t>情况，</w:t>
      </w:r>
      <w:r>
        <w:rPr>
          <w:rFonts w:hint="eastAsia"/>
          <w:lang w:val="zh-CN" w:eastAsia="zh-CN"/>
        </w:rPr>
        <w:t>其评价</w:t>
      </w:r>
      <w:r>
        <w:rPr>
          <w:lang w:val="zh-CN" w:eastAsia="zh-CN"/>
        </w:rPr>
        <w:t>维度</w:t>
      </w:r>
      <w:r>
        <w:rPr>
          <w:rFonts w:hint="eastAsia"/>
          <w:lang w:val="zh-CN" w:eastAsia="zh-CN"/>
        </w:rPr>
        <w:t>包括“</w:t>
      </w:r>
      <w:r>
        <w:rPr>
          <w:lang w:val="zh-CN" w:eastAsia="zh-CN"/>
        </w:rPr>
        <w:t>很不</w:t>
      </w:r>
      <w:r>
        <w:rPr>
          <w:rFonts w:hint="eastAsia"/>
          <w:lang w:val="zh-CN" w:eastAsia="zh-CN"/>
        </w:rPr>
        <w:t>符合</w:t>
      </w:r>
      <w:r>
        <w:rPr>
          <w:lang w:val="zh-CN" w:eastAsia="zh-CN"/>
        </w:rPr>
        <w:t>、不</w:t>
      </w:r>
      <w:r>
        <w:rPr>
          <w:rFonts w:hint="eastAsia"/>
          <w:lang w:val="zh-CN" w:eastAsia="zh-CN"/>
        </w:rPr>
        <w:t>符合</w:t>
      </w:r>
      <w:r>
        <w:rPr>
          <w:lang w:val="zh-CN" w:eastAsia="zh-CN"/>
        </w:rPr>
        <w:t>、</w:t>
      </w:r>
      <w:r>
        <w:rPr>
          <w:rFonts w:hint="eastAsia"/>
          <w:lang w:val="zh-CN" w:eastAsia="zh-CN"/>
        </w:rPr>
        <w:t>基本符合</w:t>
      </w:r>
      <w:r>
        <w:rPr>
          <w:lang w:val="zh-CN" w:eastAsia="zh-CN"/>
        </w:rPr>
        <w:t>、</w:t>
      </w:r>
      <w:r>
        <w:rPr>
          <w:rFonts w:hint="eastAsia"/>
          <w:lang w:val="zh-CN" w:eastAsia="zh-CN"/>
        </w:rPr>
        <w:t>符合</w:t>
      </w:r>
      <w:r>
        <w:rPr>
          <w:lang w:val="zh-CN" w:eastAsia="zh-CN"/>
        </w:rPr>
        <w:t>、很</w:t>
      </w:r>
      <w:r>
        <w:rPr>
          <w:rFonts w:hint="eastAsia"/>
          <w:lang w:val="zh-CN" w:eastAsia="zh-CN"/>
        </w:rPr>
        <w:t>符合”；职业期待</w:t>
      </w:r>
      <w:r>
        <w:rPr>
          <w:lang w:val="zh-CN" w:eastAsia="zh-CN"/>
        </w:rPr>
        <w:t>吻合</w:t>
      </w:r>
      <w:r>
        <w:rPr>
          <w:rFonts w:hint="eastAsia"/>
          <w:lang w:val="zh-CN" w:eastAsia="zh-CN"/>
        </w:rPr>
        <w:t>度为</w:t>
      </w:r>
      <w:r>
        <w:rPr>
          <w:lang w:val="zh-CN" w:eastAsia="zh-CN"/>
        </w:rPr>
        <w:t>选择</w:t>
      </w:r>
      <w:r>
        <w:rPr>
          <w:rFonts w:hint="eastAsia"/>
          <w:lang w:val="zh-CN" w:eastAsia="zh-CN"/>
        </w:rPr>
        <w:t>“很符合”“符合”“基本符合”的</w:t>
      </w:r>
      <w:r>
        <w:rPr>
          <w:lang w:val="zh-CN" w:eastAsia="zh-CN"/>
        </w:rPr>
        <w:t>人数</w:t>
      </w:r>
      <w:r>
        <w:rPr>
          <w:rFonts w:hint="eastAsia"/>
          <w:lang w:val="zh-CN" w:eastAsia="zh-CN"/>
        </w:rPr>
        <w:t>占“</w:t>
      </w:r>
      <w:r>
        <w:rPr>
          <w:lang w:val="zh-CN" w:eastAsia="zh-CN"/>
        </w:rPr>
        <w:t>回答此题总人数</w:t>
      </w:r>
      <w:r>
        <w:rPr>
          <w:rFonts w:hint="eastAsia"/>
          <w:lang w:val="zh-CN" w:eastAsia="zh-CN"/>
        </w:rPr>
        <w:t>-无法评价人数”</w:t>
      </w:r>
      <w:r>
        <w:rPr>
          <w:lang w:val="zh-CN" w:eastAsia="zh-CN"/>
        </w:rPr>
        <w:t>的比例</w:t>
      </w:r>
      <w:r>
        <w:rPr>
          <w:rFonts w:hint="eastAsia"/>
          <w:lang w:val="zh-CN" w:eastAsia="zh-CN"/>
        </w:rPr>
        <w:t>，另外针对毕业生的反馈分别赋予</w:t>
      </w:r>
      <w:r>
        <w:rPr>
          <w:lang w:val="zh-CN" w:eastAsia="zh-CN"/>
        </w:rPr>
        <w:t>1-5</w:t>
      </w:r>
      <w:r>
        <w:rPr>
          <w:rFonts w:hint="eastAsia"/>
          <w:lang w:val="zh-CN" w:eastAsia="zh-CN"/>
        </w:rPr>
        <w:t>分（“很不符合”=</w:t>
      </w:r>
      <w:r>
        <w:rPr>
          <w:lang w:val="zh-CN" w:eastAsia="zh-CN"/>
        </w:rPr>
        <w:t>1分</w:t>
      </w:r>
      <w:r>
        <w:rPr>
          <w:rFonts w:hint="eastAsia"/>
          <w:lang w:val="zh-CN" w:eastAsia="zh-CN"/>
        </w:rPr>
        <w:t>，“很符合”=</w:t>
      </w:r>
      <w:r>
        <w:rPr>
          <w:lang w:val="zh-CN" w:eastAsia="zh-CN"/>
        </w:rPr>
        <w:t>5分</w:t>
      </w:r>
      <w:r>
        <w:rPr>
          <w:rFonts w:hint="eastAsia"/>
          <w:lang w:val="zh-CN" w:eastAsia="zh-CN"/>
        </w:rPr>
        <w:t>），计算其均值。具体内容如下所示。</w:t>
      </w:r>
    </w:p>
    <w:p>
      <w:pPr>
        <w:ind w:firstLine="640"/>
        <w:rPr>
          <w:lang w:val="zh-CN" w:eastAsia="zh-CN"/>
        </w:rPr>
      </w:pPr>
      <w:r>
        <w:rPr>
          <w:rFonts w:hint="eastAsia"/>
          <w:lang w:val="zh-CN" w:eastAsia="zh-CN"/>
        </w:rPr>
        <w:t>总体</w:t>
      </w:r>
      <w:r>
        <w:rPr>
          <w:lang w:val="zh-CN" w:eastAsia="zh-CN"/>
        </w:rPr>
        <w:t>职业期待吻合度：</w:t>
      </w:r>
      <w:r>
        <w:rPr>
          <w:rFonts w:hint="eastAsia"/>
          <w:lang w:val="zh-CN" w:eastAsia="zh-CN"/>
        </w:rPr>
        <w:t>85.27%的毕业生认为目前的工作与自身期待的吻合情况处于“基本符合”及以上水平；目前工作与自身期待的吻合度均值为3.51分。</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after="156" w:line="360" w:lineRule="auto"/>
        <w:ind w:firstLine="0" w:firstLineChars="0"/>
        <w:jc w:val="center"/>
        <w:textAlignment w:val="auto"/>
        <w:rPr>
          <w:rFonts w:eastAsia="宋体"/>
          <w:snapToGrid/>
          <w:sz w:val="24"/>
          <w:szCs w:val="28"/>
          <w:lang w:eastAsia="zh-CN"/>
        </w:rPr>
      </w:pPr>
      <w:r>
        <w:rPr>
          <w:rFonts w:eastAsia="宋体"/>
          <w:snapToGrid/>
          <w:sz w:val="24"/>
          <w:szCs w:val="24"/>
          <w:lang w:eastAsia="zh-CN"/>
        </w:rPr>
        <w:drawing>
          <wp:inline distT="0" distB="0" distL="0" distR="0">
            <wp:extent cx="4476750" cy="1905000"/>
            <wp:effectExtent l="0" t="0" r="0" b="0"/>
            <wp:docPr id="531" name="图表 9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宋体"/>
          <w:b/>
          <w:sz w:val="24"/>
          <w:szCs w:val="24"/>
          <w:lang w:eastAsia="zh-CN"/>
        </w:rPr>
      </w:pPr>
      <w:bookmarkStart w:id="184" w:name="_Toc129867523"/>
      <w:r>
        <w:rPr>
          <w:rFonts w:hint="eastAsia" w:eastAsia="黑体"/>
          <w:b/>
          <w:sz w:val="21"/>
          <w:lang w:eastAsia="zh-CN"/>
        </w:rPr>
        <w:t xml:space="preserve">图4. </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图2-2-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16</w:t>
      </w:r>
      <w:r>
        <w:rPr>
          <w:rFonts w:eastAsia="黑体"/>
          <w:b/>
          <w:sz w:val="21"/>
          <w:lang w:eastAsia="zh-CN"/>
        </w:rPr>
        <w:fldChar w:fldCharType="end"/>
      </w:r>
      <w:r>
        <w:rPr>
          <w:rFonts w:hint="eastAsia" w:eastAsia="宋体"/>
          <w:b/>
          <w:sz w:val="24"/>
          <w:szCs w:val="24"/>
          <w:lang w:eastAsia="zh-CN"/>
        </w:rPr>
        <w:t xml:space="preserve">  </w:t>
      </w:r>
      <w:r>
        <w:rPr>
          <w:rFonts w:eastAsia="宋体"/>
          <w:b/>
          <w:sz w:val="24"/>
          <w:szCs w:val="24"/>
          <w:lang w:eastAsia="zh-CN"/>
        </w:rPr>
        <w:t>2022届</w:t>
      </w:r>
      <w:r>
        <w:rPr>
          <w:rFonts w:hint="eastAsia" w:eastAsia="宋体"/>
          <w:b/>
          <w:sz w:val="24"/>
          <w:szCs w:val="24"/>
          <w:lang w:eastAsia="zh-CN"/>
        </w:rPr>
        <w:t>毕业生</w:t>
      </w:r>
      <w:r>
        <w:rPr>
          <w:rFonts w:eastAsia="宋体"/>
          <w:b/>
          <w:sz w:val="24"/>
          <w:szCs w:val="24"/>
          <w:lang w:eastAsia="zh-CN"/>
        </w:rPr>
        <w:t>职业期待吻合情况</w:t>
      </w:r>
      <w:bookmarkEnd w:id="184"/>
    </w:p>
    <w:p>
      <w:pPr>
        <w:rPr>
          <w:snapToGrid/>
          <w:sz w:val="21"/>
          <w:lang w:eastAsia="zh-CN"/>
        </w:rPr>
      </w:pPr>
      <w:r>
        <w:rPr>
          <w:rFonts w:hint="eastAsia" w:ascii="仿宋" w:hAnsi="仿宋"/>
          <w:sz w:val="21"/>
          <w:lang w:eastAsia="zh-CN"/>
        </w:rPr>
        <w:t>数据来源：北京新锦成教育技术有限公司</w:t>
      </w:r>
    </w:p>
    <w:p>
      <w:pPr>
        <w:ind w:firstLine="640"/>
        <w:rPr>
          <w:lang w:val="zh-CN" w:eastAsia="zh-CN"/>
        </w:rPr>
      </w:pPr>
      <w:r>
        <w:rPr>
          <w:rFonts w:hint="eastAsia"/>
          <w:lang w:val="zh-CN" w:eastAsia="zh-CN"/>
        </w:rPr>
        <w:t>本校2022届毕业生职业期待吻合度（85.27%）比全国高校2022届毕业生职业</w:t>
      </w:r>
      <w:r>
        <w:rPr>
          <w:lang w:val="zh-CN" w:eastAsia="zh-CN"/>
        </w:rPr>
        <w:t>期待吻合度</w:t>
      </w:r>
      <w:r>
        <w:rPr>
          <w:rFonts w:hint="eastAsia"/>
          <w:lang w:val="zh-CN" w:eastAsia="zh-CN"/>
        </w:rPr>
        <w:t>（</w:t>
      </w:r>
      <w:r>
        <w:rPr>
          <w:lang w:val="zh-CN" w:eastAsia="zh-CN"/>
        </w:rPr>
        <w:t>85.52%）低0.25</w:t>
      </w:r>
      <w:r>
        <w:rPr>
          <w:rFonts w:hint="eastAsia"/>
          <w:lang w:val="zh-CN" w:eastAsia="zh-CN"/>
        </w:rPr>
        <w:t>个百分点；其中，2</w:t>
      </w:r>
      <w:r>
        <w:rPr>
          <w:lang w:val="zh-CN" w:eastAsia="zh-CN"/>
        </w:rPr>
        <w:t>020-2021</w:t>
      </w:r>
      <w:r>
        <w:rPr>
          <w:rFonts w:hint="eastAsia"/>
          <w:lang w:val="zh-CN" w:eastAsia="zh-CN"/>
        </w:rPr>
        <w:t>届毕业生职业期待吻合度分别为</w:t>
      </w:r>
      <w:r>
        <w:rPr>
          <w:lang w:val="zh-CN" w:eastAsia="zh-CN"/>
        </w:rPr>
        <w:t>78.31%</w:t>
      </w:r>
      <w:r>
        <w:rPr>
          <w:rFonts w:hint="eastAsia"/>
          <w:lang w:val="zh-CN" w:eastAsia="zh-CN"/>
        </w:rPr>
        <w:t>、</w:t>
      </w:r>
      <w:r>
        <w:rPr>
          <w:lang w:val="zh-CN" w:eastAsia="zh-CN"/>
        </w:rPr>
        <w:t>89.78%</w:t>
      </w:r>
      <w:r>
        <w:rPr>
          <w:rFonts w:hint="eastAsia"/>
          <w:lang w:val="zh-CN" w:eastAsia="zh-CN"/>
        </w:rPr>
        <w:t>。</w:t>
      </w:r>
    </w:p>
    <w:p>
      <w:pPr>
        <w:pBdr>
          <w:top w:val="none" w:color="000000" w:sz="0" w:space="0"/>
          <w:left w:val="none" w:color="000000" w:sz="0" w:space="0"/>
          <w:bottom w:val="none" w:color="000000" w:sz="0" w:space="0"/>
          <w:right w:val="none" w:color="000000" w:sz="0" w:space="0"/>
          <w:between w:val="none" w:color="000000" w:sz="0" w:space="0"/>
        </w:pBdr>
        <w:spacing w:before="163" w:after="163" w:line="360" w:lineRule="auto"/>
        <w:ind w:firstLine="480"/>
        <w:jc w:val="center"/>
        <w:rPr>
          <w:rFonts w:eastAsia="宋体"/>
          <w:sz w:val="24"/>
          <w:szCs w:val="24"/>
          <w:lang w:val="zh-CN" w:eastAsia="zh-CN"/>
        </w:rPr>
      </w:pPr>
      <w:r>
        <w:rPr>
          <w:rFonts w:eastAsia="宋体"/>
          <w:sz w:val="24"/>
          <w:lang w:eastAsia="zh-CN"/>
        </w:rPr>
        <w:drawing>
          <wp:inline distT="0" distB="0" distL="0" distR="0">
            <wp:extent cx="5000625" cy="1981200"/>
            <wp:effectExtent l="0" t="0" r="0" b="0"/>
            <wp:docPr id="532" name="图表 98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bCs/>
          <w:sz w:val="21"/>
          <w:lang w:eastAsia="zh-CN"/>
        </w:rPr>
      </w:pPr>
      <w:bookmarkStart w:id="185" w:name="_Toc129867524"/>
      <w:r>
        <w:rPr>
          <w:rFonts w:hint="eastAsia" w:eastAsia="黑体"/>
          <w:b/>
          <w:sz w:val="21"/>
          <w:lang w:eastAsia="zh-CN"/>
        </w:rPr>
        <w:t>图4.</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图2-2-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17</w:t>
      </w:r>
      <w:r>
        <w:rPr>
          <w:rFonts w:eastAsia="黑体"/>
          <w:b/>
          <w:sz w:val="21"/>
          <w:lang w:eastAsia="zh-CN"/>
        </w:rPr>
        <w:fldChar w:fldCharType="end"/>
      </w:r>
      <w:r>
        <w:rPr>
          <w:rFonts w:eastAsia="黑体"/>
          <w:b/>
          <w:bCs/>
          <w:sz w:val="21"/>
          <w:lang w:eastAsia="zh-CN"/>
        </w:rPr>
        <w:t xml:space="preserve">  </w:t>
      </w:r>
      <w:r>
        <w:rPr>
          <w:rFonts w:eastAsia="黑体"/>
          <w:b/>
          <w:sz w:val="21"/>
          <w:lang w:eastAsia="zh-CN"/>
        </w:rPr>
        <w:t>2020-2022届</w:t>
      </w:r>
      <w:r>
        <w:rPr>
          <w:rFonts w:hint="eastAsia" w:eastAsia="黑体"/>
          <w:b/>
          <w:bCs/>
          <w:sz w:val="21"/>
          <w:lang w:eastAsia="zh-CN"/>
        </w:rPr>
        <w:t>毕业生职业期待</w:t>
      </w:r>
      <w:r>
        <w:rPr>
          <w:rFonts w:eastAsia="黑体"/>
          <w:b/>
          <w:bCs/>
          <w:sz w:val="21"/>
          <w:lang w:eastAsia="zh-CN"/>
        </w:rPr>
        <w:t>吻合度</w:t>
      </w:r>
      <w:r>
        <w:rPr>
          <w:rFonts w:hint="eastAsia" w:eastAsia="黑体"/>
          <w:b/>
          <w:bCs/>
          <w:sz w:val="21"/>
          <w:lang w:eastAsia="zh-CN"/>
        </w:rPr>
        <w:t>对比分析</w:t>
      </w:r>
      <w:bookmarkEnd w:id="185"/>
    </w:p>
    <w:p>
      <w:pPr>
        <w:rPr>
          <w:snapToGrid/>
          <w:sz w:val="21"/>
          <w:lang w:eastAsia="zh-CN"/>
        </w:rPr>
      </w:pPr>
      <w:r>
        <w:rPr>
          <w:rFonts w:hint="eastAsia" w:ascii="仿宋" w:hAnsi="仿宋"/>
          <w:sz w:val="21"/>
          <w:lang w:eastAsia="zh-CN"/>
        </w:rPr>
        <w:t>数据来源：北京新锦成教育技术有限公司</w:t>
      </w:r>
    </w:p>
    <w:p>
      <w:pPr>
        <w:pStyle w:val="3"/>
        <w:ind w:firstLine="643"/>
        <w:rPr>
          <w:lang w:val="zh-CN" w:eastAsia="zh-CN"/>
        </w:rPr>
      </w:pPr>
      <w:bookmarkStart w:id="186" w:name="_Toc151887761"/>
      <w:r>
        <w:rPr>
          <w:rFonts w:hint="eastAsia"/>
          <w:lang w:val="zh-CN" w:eastAsia="zh-CN"/>
        </w:rPr>
        <w:t>（一）</w:t>
      </w:r>
      <w:r>
        <w:rPr>
          <w:lang w:val="zh-CN" w:eastAsia="zh-CN"/>
        </w:rPr>
        <w:t>各</w:t>
      </w:r>
      <w:r>
        <w:rPr>
          <w:rFonts w:hint="eastAsia"/>
          <w:lang w:val="zh-CN" w:eastAsia="zh-CN"/>
        </w:rPr>
        <w:t>学院职业期待吻合度</w:t>
      </w:r>
      <w:bookmarkEnd w:id="186"/>
    </w:p>
    <w:p>
      <w:pPr>
        <w:ind w:firstLine="640"/>
        <w:rPr>
          <w:lang w:val="zh-CN" w:eastAsia="zh-CN"/>
        </w:rPr>
      </w:pPr>
      <w:r>
        <w:rPr>
          <w:rFonts w:hint="eastAsia"/>
          <w:lang w:val="zh-CN" w:eastAsia="zh-CN"/>
        </w:rPr>
        <w:t>各学院职业</w:t>
      </w:r>
      <w:r>
        <w:rPr>
          <w:lang w:val="zh-CN" w:eastAsia="zh-CN"/>
        </w:rPr>
        <w:t>期待吻合度</w:t>
      </w:r>
      <w:r>
        <w:rPr>
          <w:rFonts w:hint="eastAsia"/>
          <w:lang w:val="zh-CN" w:eastAsia="zh-CN"/>
        </w:rPr>
        <w:t>：各学院毕业生目前</w:t>
      </w:r>
      <w:r>
        <w:rPr>
          <w:lang w:val="zh-CN" w:eastAsia="zh-CN"/>
        </w:rPr>
        <w:t>所从事的工作岗位与自身职业期待</w:t>
      </w:r>
      <w:r>
        <w:rPr>
          <w:rFonts w:hint="eastAsia"/>
          <w:lang w:val="zh-CN" w:eastAsia="zh-CN"/>
        </w:rPr>
        <w:t>吻合</w:t>
      </w:r>
      <w:r>
        <w:rPr>
          <w:lang w:val="zh-CN" w:eastAsia="zh-CN"/>
        </w:rPr>
        <w:t>度</w:t>
      </w:r>
      <w:r>
        <w:rPr>
          <w:rFonts w:hint="eastAsia"/>
          <w:lang w:val="zh-CN" w:eastAsia="zh-CN"/>
        </w:rPr>
        <w:t>均在62.07%及以上</w:t>
      </w:r>
      <w:r>
        <w:rPr>
          <w:lang w:val="zh-CN" w:eastAsia="zh-CN"/>
        </w:rPr>
        <w:t>；其中</w:t>
      </w:r>
      <w:r>
        <w:rPr>
          <w:rFonts w:hint="eastAsia"/>
          <w:lang w:val="zh-CN" w:eastAsia="zh-CN"/>
        </w:rPr>
        <w:t>“化学与材料工程学院”毕业生职业期待吻合度最高，为100.00%</w:t>
      </w:r>
      <w:r>
        <w:rPr>
          <w:lang w:val="zh-CN" w:eastAsia="zh-CN"/>
        </w:rPr>
        <w:t>。</w:t>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187" w:name="_Toc129867525"/>
      <w:r>
        <w:rPr>
          <w:rFonts w:hint="eastAsia" w:eastAsia="黑体"/>
          <w:b/>
          <w:sz w:val="21"/>
          <w:lang w:eastAsia="zh-CN"/>
        </w:rPr>
        <w:t>表4.</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表2-2-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12</w:t>
      </w:r>
      <w:r>
        <w:rPr>
          <w:rFonts w:eastAsia="黑体"/>
          <w:b/>
          <w:sz w:val="21"/>
          <w:lang w:eastAsia="zh-CN"/>
        </w:rPr>
        <w:fldChar w:fldCharType="end"/>
      </w:r>
      <w:r>
        <w:rPr>
          <w:rFonts w:eastAsia="黑体"/>
          <w:b/>
          <w:sz w:val="21"/>
          <w:lang w:eastAsia="zh-CN"/>
        </w:rPr>
        <w:t xml:space="preserve">  </w:t>
      </w:r>
      <w:r>
        <w:rPr>
          <w:rFonts w:hint="eastAsia" w:eastAsia="黑体"/>
          <w:b/>
          <w:sz w:val="21"/>
          <w:lang w:eastAsia="zh-CN"/>
        </w:rPr>
        <w:t>2022届各学院毕业生职业期待吻合情况分布</w:t>
      </w:r>
      <w:bookmarkEnd w:id="187"/>
    </w:p>
    <w:tbl>
      <w:tblPr>
        <w:tblStyle w:val="30"/>
        <w:tblW w:w="5000" w:type="pct"/>
        <w:jc w:val="cente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2474"/>
        <w:gridCol w:w="1134"/>
        <w:gridCol w:w="1134"/>
        <w:gridCol w:w="1134"/>
        <w:gridCol w:w="1134"/>
        <w:gridCol w:w="1011"/>
        <w:gridCol w:w="1134"/>
        <w:gridCol w:w="807"/>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jc w:val="center"/>
        </w:trPr>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cs="微软雅黑"/>
                <w:b/>
                <w:bCs/>
                <w:snapToGrid/>
                <w:color w:val="CCE8CF"/>
                <w:sz w:val="21"/>
                <w:lang w:eastAsia="zh-CN"/>
              </w:rPr>
              <w:t>学院</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cs="微软雅黑"/>
                <w:b/>
                <w:bCs/>
                <w:snapToGrid/>
                <w:color w:val="CCE8CF"/>
                <w:sz w:val="21"/>
                <w:lang w:eastAsia="zh-CN"/>
              </w:rPr>
              <w:t>很符合</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cs="微软雅黑"/>
                <w:b/>
                <w:bCs/>
                <w:snapToGrid/>
                <w:color w:val="CCE8CF"/>
                <w:sz w:val="21"/>
                <w:lang w:eastAsia="zh-CN"/>
              </w:rPr>
              <w:t>符合</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微软雅黑"/>
                <w:b/>
                <w:bCs/>
                <w:snapToGrid/>
                <w:color w:val="CCE8CF"/>
                <w:sz w:val="21"/>
                <w:lang w:eastAsia="zh-CN"/>
              </w:rPr>
            </w:pPr>
            <w:r>
              <w:rPr>
                <w:rFonts w:hint="eastAsia" w:ascii="宋体" w:hAnsi="宋体" w:eastAsia="宋体" w:cs="微软雅黑"/>
                <w:b/>
                <w:bCs/>
                <w:snapToGrid/>
                <w:color w:val="CCE8CF"/>
                <w:sz w:val="21"/>
                <w:lang w:eastAsia="zh-CN"/>
              </w:rPr>
              <w:t>基本</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cs="微软雅黑"/>
                <w:b/>
                <w:bCs/>
                <w:snapToGrid/>
                <w:color w:val="CCE8CF"/>
                <w:sz w:val="21"/>
                <w:lang w:eastAsia="zh-CN"/>
              </w:rPr>
              <w:t>符合</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cs="微软雅黑"/>
                <w:b/>
                <w:bCs/>
                <w:snapToGrid/>
                <w:color w:val="CCE8CF"/>
                <w:sz w:val="21"/>
                <w:lang w:eastAsia="zh-CN"/>
              </w:rPr>
              <w:t>不符合</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微软雅黑"/>
                <w:b/>
                <w:bCs/>
                <w:snapToGrid/>
                <w:color w:val="CCE8CF"/>
                <w:sz w:val="21"/>
                <w:lang w:eastAsia="zh-CN"/>
              </w:rPr>
            </w:pPr>
            <w:r>
              <w:rPr>
                <w:rFonts w:hint="eastAsia" w:ascii="宋体" w:hAnsi="宋体" w:eastAsia="宋体" w:cs="微软雅黑"/>
                <w:b/>
                <w:bCs/>
                <w:snapToGrid/>
                <w:color w:val="CCE8CF"/>
                <w:sz w:val="21"/>
                <w:lang w:eastAsia="zh-CN"/>
              </w:rPr>
              <w:t>很不</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cs="微软雅黑"/>
                <w:b/>
                <w:bCs/>
                <w:snapToGrid/>
                <w:color w:val="CCE8CF"/>
                <w:sz w:val="21"/>
                <w:lang w:eastAsia="zh-CN"/>
              </w:rPr>
              <w:t>符合</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cs="微软雅黑"/>
                <w:b/>
                <w:bCs/>
                <w:snapToGrid/>
                <w:color w:val="CCE8CF"/>
                <w:sz w:val="21"/>
                <w:lang w:eastAsia="zh-CN"/>
              </w:rPr>
              <w:t>吻合度</w:t>
            </w:r>
          </w:p>
        </w:tc>
        <w:tc>
          <w:tcPr>
            <w:tcW w:w="0" w:type="auto"/>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cs="微软雅黑"/>
                <w:b/>
                <w:bCs/>
                <w:snapToGrid/>
                <w:color w:val="CCE8CF"/>
                <w:sz w:val="21"/>
                <w:lang w:eastAsia="zh-CN"/>
              </w:rPr>
              <w:t>均值</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化学与材料工程学院</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42.37%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57.63%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100.00%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3.42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城建学院</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25.00%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18.75%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47.92%</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6.25%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2.08%</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91.67%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3.58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临床医药学院</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40.50%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27.27%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20.66%</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7.44%</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4.13%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88.43%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3.93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国际护理学院</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20.16%</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28.68%</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38.76%</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10.85%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1.55%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87.60%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3.55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财经学院</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17.54%</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21.05%</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43.86%</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14.91%</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2.63%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82.46%</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3.36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设计学院</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10.71%</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17.86%</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53.57%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17.86%</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82.14%</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3.21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机电工程学院</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34.12%</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18.82%</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28.24%</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15.29%</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3.53%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81.18%</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3.65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海事学院</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16.00%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44.00%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12.00%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8.00%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80.00%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3.24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信息工程学院</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20.69%</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6.90%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48.28%</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17.24%</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6.90%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75.86%</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3.17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健康科学学院</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3.45%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17.24%</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41.38%</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27.59%</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10.34%</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62.07%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2.76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传媒与音乐学院</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*40.00%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*20.00%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*80.00%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1"/>
                <w:lang w:eastAsia="zh-CN"/>
              </w:rPr>
            </w:pPr>
            <w:r>
              <w:rPr>
                <w:rFonts w:hint="eastAsia" w:eastAsia="宋体"/>
                <w:snapToGrid/>
                <w:sz w:val="21"/>
                <w:lang w:eastAsia="zh-CN"/>
              </w:rPr>
              <w:t>*3.40</w:t>
            </w:r>
          </w:p>
        </w:tc>
      </w:tr>
    </w:tbl>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Chars="0"/>
        <w:jc w:val="both"/>
        <w:textAlignment w:val="auto"/>
        <w:rPr>
          <w:rFonts w:ascii="黑体" w:hAnsi="黑体" w:eastAsia="黑体"/>
          <w:snapToGrid/>
          <w:sz w:val="21"/>
          <w:lang w:eastAsia="zh-CN"/>
        </w:rPr>
      </w:pPr>
      <w:r>
        <w:rPr>
          <w:rFonts w:hint="eastAsia" w:ascii="黑体" w:hAnsi="黑体" w:eastAsia="黑体"/>
          <w:snapToGrid/>
          <w:sz w:val="21"/>
          <w:lang w:eastAsia="zh-CN"/>
        </w:rPr>
        <w:t>注</w:t>
      </w:r>
      <w:r>
        <w:rPr>
          <w:rFonts w:ascii="黑体" w:hAnsi="黑体" w:eastAsia="黑体"/>
          <w:snapToGrid/>
          <w:sz w:val="21"/>
          <w:lang w:eastAsia="zh-CN"/>
        </w:rPr>
        <w:t>：</w:t>
      </w:r>
      <w:r>
        <w:rPr>
          <w:rFonts w:hint="eastAsia" w:ascii="黑体" w:hAnsi="黑体" w:eastAsia="黑体"/>
          <w:snapToGrid/>
          <w:sz w:val="21"/>
          <w:lang w:eastAsia="zh-CN"/>
        </w:rPr>
        <w:t>*学院样本量较小，其分析结果仅供参考，不纳入到报告结论的分析范畴。</w:t>
      </w:r>
    </w:p>
    <w:p>
      <w:pPr>
        <w:rPr>
          <w:snapToGrid/>
          <w:sz w:val="21"/>
          <w:lang w:eastAsia="zh-CN"/>
        </w:rPr>
      </w:pPr>
      <w:r>
        <w:rPr>
          <w:rFonts w:hint="eastAsia" w:ascii="仿宋" w:hAnsi="仿宋"/>
          <w:sz w:val="21"/>
          <w:lang w:eastAsia="zh-CN"/>
        </w:rPr>
        <w:t>数据来源：北京新锦成教育技术有限公司</w:t>
      </w:r>
    </w:p>
    <w:p>
      <w:pPr>
        <w:pStyle w:val="3"/>
        <w:ind w:firstLine="643"/>
        <w:rPr>
          <w:lang w:val="zh-CN" w:eastAsia="zh-CN"/>
        </w:rPr>
      </w:pPr>
      <w:bookmarkStart w:id="188" w:name="_Toc151887762"/>
      <w:r>
        <w:rPr>
          <w:rFonts w:hint="eastAsia"/>
          <w:lang w:val="zh-CN" w:eastAsia="zh-CN"/>
        </w:rPr>
        <w:t>（二）</w:t>
      </w:r>
      <w:r>
        <w:rPr>
          <w:lang w:val="zh-CN" w:eastAsia="zh-CN"/>
        </w:rPr>
        <w:t>各</w:t>
      </w:r>
      <w:r>
        <w:rPr>
          <w:rFonts w:hint="eastAsia"/>
          <w:lang w:val="zh-CN" w:eastAsia="zh-CN"/>
        </w:rPr>
        <w:t>专业职业期待吻合度</w:t>
      </w:r>
      <w:bookmarkEnd w:id="188"/>
    </w:p>
    <w:p>
      <w:pPr>
        <w:ind w:firstLine="640"/>
        <w:rPr>
          <w:lang w:val="zh-CN" w:eastAsia="zh-CN"/>
        </w:rPr>
      </w:pPr>
      <w:r>
        <w:rPr>
          <w:rFonts w:hint="eastAsia"/>
          <w:lang w:val="zh-CN" w:eastAsia="zh-CN"/>
        </w:rPr>
        <w:t>各专业</w:t>
      </w:r>
      <w:r>
        <w:rPr>
          <w:lang w:val="zh-CN" w:eastAsia="zh-CN"/>
        </w:rPr>
        <w:t>的</w:t>
      </w:r>
      <w:r>
        <w:rPr>
          <w:rFonts w:hint="eastAsia"/>
          <w:lang w:val="zh-CN" w:eastAsia="zh-CN"/>
        </w:rPr>
        <w:t>职业</w:t>
      </w:r>
      <w:r>
        <w:rPr>
          <w:lang w:val="zh-CN" w:eastAsia="zh-CN"/>
        </w:rPr>
        <w:t>期待吻合度：</w:t>
      </w:r>
      <w:r>
        <w:rPr>
          <w:rFonts w:hint="eastAsia"/>
          <w:lang w:val="zh-CN" w:eastAsia="zh-CN"/>
        </w:rPr>
        <w:t>“市场营销”“食品营养与检测”“石油化工技术”等专业的毕业生职业期待吻合度相对较高，均达到100.00%；而“社区康复”专业的毕业生职业期待吻合度相对较低，为53.85%。</w:t>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189" w:name="_Toc129867527"/>
      <w:r>
        <w:rPr>
          <w:rFonts w:hint="eastAsia" w:eastAsia="黑体"/>
          <w:b/>
          <w:sz w:val="21"/>
          <w:lang w:eastAsia="zh-CN"/>
        </w:rPr>
        <w:t xml:space="preserve">表4. </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表2-2-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13</w:t>
      </w:r>
      <w:r>
        <w:rPr>
          <w:rFonts w:eastAsia="黑体"/>
          <w:b/>
          <w:sz w:val="21"/>
          <w:lang w:eastAsia="zh-CN"/>
        </w:rPr>
        <w:fldChar w:fldCharType="end"/>
      </w:r>
      <w:r>
        <w:rPr>
          <w:rFonts w:eastAsia="黑体"/>
          <w:b/>
          <w:sz w:val="21"/>
          <w:lang w:eastAsia="zh-CN"/>
        </w:rPr>
        <w:t xml:space="preserve">  </w:t>
      </w:r>
      <w:r>
        <w:rPr>
          <w:rFonts w:hint="eastAsia" w:eastAsia="黑体"/>
          <w:b/>
          <w:sz w:val="21"/>
          <w:lang w:eastAsia="zh-CN"/>
        </w:rPr>
        <w:t>2022届各专业毕业生职业期待吻合情况分布</w:t>
      </w:r>
      <w:bookmarkEnd w:id="189"/>
    </w:p>
    <w:tbl>
      <w:tblPr>
        <w:tblStyle w:val="30"/>
        <w:tblW w:w="8788" w:type="dxa"/>
        <w:jc w:val="cente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fixed"/>
        <w:tblCellMar>
          <w:top w:w="0" w:type="dxa"/>
          <w:left w:w="108" w:type="dxa"/>
          <w:bottom w:w="0" w:type="dxa"/>
          <w:right w:w="108" w:type="dxa"/>
        </w:tblCellMar>
      </w:tblPr>
      <w:tblGrid>
        <w:gridCol w:w="4669"/>
        <w:gridCol w:w="2197"/>
        <w:gridCol w:w="1922"/>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jc w:val="center"/>
        </w:trPr>
        <w:tc>
          <w:tcPr>
            <w:tcW w:w="4669" w:type="dxa"/>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cs="微软雅黑"/>
                <w:b/>
                <w:bCs/>
                <w:snapToGrid/>
                <w:color w:val="CCE8CF"/>
                <w:sz w:val="21"/>
                <w:lang w:eastAsia="zh-CN"/>
              </w:rPr>
              <w:t>专业</w:t>
            </w:r>
          </w:p>
        </w:tc>
        <w:tc>
          <w:tcPr>
            <w:tcW w:w="2197" w:type="dxa"/>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cs="微软雅黑"/>
                <w:b/>
                <w:bCs/>
                <w:snapToGrid/>
                <w:color w:val="CCE8CF"/>
                <w:sz w:val="21"/>
                <w:lang w:eastAsia="zh-CN"/>
              </w:rPr>
              <w:t>吻合度</w:t>
            </w:r>
          </w:p>
        </w:tc>
        <w:tc>
          <w:tcPr>
            <w:tcW w:w="1922" w:type="dxa"/>
            <w:shd w:val="clear" w:color="auto" w:fill="5E98D8"/>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cs="微软雅黑"/>
                <w:b/>
                <w:bCs/>
                <w:snapToGrid/>
                <w:color w:val="CCE8CF"/>
                <w:sz w:val="21"/>
                <w:lang w:eastAsia="zh-CN"/>
              </w:rPr>
              <w:t>均值</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市场营销</w:t>
            </w:r>
          </w:p>
        </w:tc>
        <w:tc>
          <w:tcPr>
            <w:tcW w:w="2197"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100.00%</w:t>
            </w:r>
          </w:p>
        </w:tc>
        <w:tc>
          <w:tcPr>
            <w:tcW w:w="192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3.90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食品营养与检测</w:t>
            </w:r>
          </w:p>
        </w:tc>
        <w:tc>
          <w:tcPr>
            <w:tcW w:w="2197"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100.00%</w:t>
            </w:r>
          </w:p>
        </w:tc>
        <w:tc>
          <w:tcPr>
            <w:tcW w:w="192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3.64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石油化工技术</w:t>
            </w:r>
          </w:p>
        </w:tc>
        <w:tc>
          <w:tcPr>
            <w:tcW w:w="2197"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100.00%</w:t>
            </w:r>
          </w:p>
        </w:tc>
        <w:tc>
          <w:tcPr>
            <w:tcW w:w="192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3.36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药品生产技术</w:t>
            </w:r>
          </w:p>
        </w:tc>
        <w:tc>
          <w:tcPr>
            <w:tcW w:w="2197"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100.00%</w:t>
            </w:r>
          </w:p>
        </w:tc>
        <w:tc>
          <w:tcPr>
            <w:tcW w:w="192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3.12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工程造价</w:t>
            </w:r>
          </w:p>
        </w:tc>
        <w:tc>
          <w:tcPr>
            <w:tcW w:w="2197"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94.74%</w:t>
            </w:r>
          </w:p>
        </w:tc>
        <w:tc>
          <w:tcPr>
            <w:tcW w:w="192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3.63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口腔医学技术</w:t>
            </w:r>
          </w:p>
        </w:tc>
        <w:tc>
          <w:tcPr>
            <w:tcW w:w="2197"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93.24%</w:t>
            </w:r>
          </w:p>
        </w:tc>
        <w:tc>
          <w:tcPr>
            <w:tcW w:w="192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4.04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工商企业管理</w:t>
            </w:r>
          </w:p>
        </w:tc>
        <w:tc>
          <w:tcPr>
            <w:tcW w:w="2197"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92.31%</w:t>
            </w:r>
          </w:p>
        </w:tc>
        <w:tc>
          <w:tcPr>
            <w:tcW w:w="192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3.62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汽车检测与维修技术</w:t>
            </w:r>
          </w:p>
        </w:tc>
        <w:tc>
          <w:tcPr>
            <w:tcW w:w="2197"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90.48%</w:t>
            </w:r>
          </w:p>
        </w:tc>
        <w:tc>
          <w:tcPr>
            <w:tcW w:w="192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4.38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环境艺术设计</w:t>
            </w:r>
          </w:p>
        </w:tc>
        <w:tc>
          <w:tcPr>
            <w:tcW w:w="2197"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90.00%</w:t>
            </w:r>
          </w:p>
        </w:tc>
        <w:tc>
          <w:tcPr>
            <w:tcW w:w="192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3.20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护理</w:t>
            </w:r>
          </w:p>
        </w:tc>
        <w:tc>
          <w:tcPr>
            <w:tcW w:w="2197"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86.89%</w:t>
            </w:r>
          </w:p>
        </w:tc>
        <w:tc>
          <w:tcPr>
            <w:tcW w:w="192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3.52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新能源汽车技术</w:t>
            </w:r>
          </w:p>
        </w:tc>
        <w:tc>
          <w:tcPr>
            <w:tcW w:w="2197"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85.71%</w:t>
            </w:r>
          </w:p>
        </w:tc>
        <w:tc>
          <w:tcPr>
            <w:tcW w:w="192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3.71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建筑工程技术</w:t>
            </w:r>
          </w:p>
        </w:tc>
        <w:tc>
          <w:tcPr>
            <w:tcW w:w="2197"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85.00%</w:t>
            </w:r>
          </w:p>
        </w:tc>
        <w:tc>
          <w:tcPr>
            <w:tcW w:w="192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3.40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航海技术</w:t>
            </w:r>
          </w:p>
        </w:tc>
        <w:tc>
          <w:tcPr>
            <w:tcW w:w="2197"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84.62%</w:t>
            </w:r>
          </w:p>
        </w:tc>
        <w:tc>
          <w:tcPr>
            <w:tcW w:w="192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3.38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金融管理</w:t>
            </w:r>
          </w:p>
        </w:tc>
        <w:tc>
          <w:tcPr>
            <w:tcW w:w="2197"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81.82%</w:t>
            </w:r>
          </w:p>
        </w:tc>
        <w:tc>
          <w:tcPr>
            <w:tcW w:w="192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3.55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烹调工艺与营养</w:t>
            </w:r>
          </w:p>
        </w:tc>
        <w:tc>
          <w:tcPr>
            <w:tcW w:w="2197"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81.82%</w:t>
            </w:r>
          </w:p>
        </w:tc>
        <w:tc>
          <w:tcPr>
            <w:tcW w:w="192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3.45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软件技术</w:t>
            </w:r>
          </w:p>
        </w:tc>
        <w:tc>
          <w:tcPr>
            <w:tcW w:w="2197"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81.82%</w:t>
            </w:r>
          </w:p>
        </w:tc>
        <w:tc>
          <w:tcPr>
            <w:tcW w:w="192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3.36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中药学</w:t>
            </w:r>
          </w:p>
        </w:tc>
        <w:tc>
          <w:tcPr>
            <w:tcW w:w="2197"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80.85%</w:t>
            </w:r>
          </w:p>
        </w:tc>
        <w:tc>
          <w:tcPr>
            <w:tcW w:w="192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3.74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计算机网络技术</w:t>
            </w:r>
          </w:p>
        </w:tc>
        <w:tc>
          <w:tcPr>
            <w:tcW w:w="2197"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80.00%</w:t>
            </w:r>
          </w:p>
        </w:tc>
        <w:tc>
          <w:tcPr>
            <w:tcW w:w="192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2.80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会计</w:t>
            </w:r>
          </w:p>
        </w:tc>
        <w:tc>
          <w:tcPr>
            <w:tcW w:w="2197"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79.07%</w:t>
            </w:r>
          </w:p>
        </w:tc>
        <w:tc>
          <w:tcPr>
            <w:tcW w:w="192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3.14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物流管理</w:t>
            </w:r>
          </w:p>
        </w:tc>
        <w:tc>
          <w:tcPr>
            <w:tcW w:w="2197"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78.57%</w:t>
            </w:r>
          </w:p>
        </w:tc>
        <w:tc>
          <w:tcPr>
            <w:tcW w:w="192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3.43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风景园林设计</w:t>
            </w:r>
          </w:p>
        </w:tc>
        <w:tc>
          <w:tcPr>
            <w:tcW w:w="2197"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75.00%</w:t>
            </w:r>
          </w:p>
        </w:tc>
        <w:tc>
          <w:tcPr>
            <w:tcW w:w="192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3.00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旅游管理</w:t>
            </w:r>
          </w:p>
        </w:tc>
        <w:tc>
          <w:tcPr>
            <w:tcW w:w="2197"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71.43%</w:t>
            </w:r>
          </w:p>
        </w:tc>
        <w:tc>
          <w:tcPr>
            <w:tcW w:w="192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2.86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健康管理</w:t>
            </w:r>
          </w:p>
        </w:tc>
        <w:tc>
          <w:tcPr>
            <w:tcW w:w="2197"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68.75%</w:t>
            </w:r>
          </w:p>
        </w:tc>
        <w:tc>
          <w:tcPr>
            <w:tcW w:w="192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2.88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社区康复</w:t>
            </w:r>
          </w:p>
        </w:tc>
        <w:tc>
          <w:tcPr>
            <w:tcW w:w="2197"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53.85%</w:t>
            </w:r>
          </w:p>
        </w:tc>
        <w:tc>
          <w:tcPr>
            <w:tcW w:w="192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2.62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助产</w:t>
            </w:r>
          </w:p>
        </w:tc>
        <w:tc>
          <w:tcPr>
            <w:tcW w:w="2197"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*100.00%</w:t>
            </w:r>
          </w:p>
        </w:tc>
        <w:tc>
          <w:tcPr>
            <w:tcW w:w="192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*4.00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工业机器人技术</w:t>
            </w:r>
          </w:p>
        </w:tc>
        <w:tc>
          <w:tcPr>
            <w:tcW w:w="2197"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*100.00%</w:t>
            </w:r>
          </w:p>
        </w:tc>
        <w:tc>
          <w:tcPr>
            <w:tcW w:w="192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*4.00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建筑设计</w:t>
            </w:r>
          </w:p>
        </w:tc>
        <w:tc>
          <w:tcPr>
            <w:tcW w:w="2197"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*100.00%</w:t>
            </w:r>
          </w:p>
        </w:tc>
        <w:tc>
          <w:tcPr>
            <w:tcW w:w="192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*4.00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机械设计与制造</w:t>
            </w:r>
          </w:p>
        </w:tc>
        <w:tc>
          <w:tcPr>
            <w:tcW w:w="2197"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*100.00%</w:t>
            </w:r>
          </w:p>
        </w:tc>
        <w:tc>
          <w:tcPr>
            <w:tcW w:w="192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*4.00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体育运营与管理</w:t>
            </w:r>
          </w:p>
        </w:tc>
        <w:tc>
          <w:tcPr>
            <w:tcW w:w="2197"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*100.00%</w:t>
            </w:r>
          </w:p>
        </w:tc>
        <w:tc>
          <w:tcPr>
            <w:tcW w:w="192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*3.50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建筑装饰工程技术</w:t>
            </w:r>
          </w:p>
        </w:tc>
        <w:tc>
          <w:tcPr>
            <w:tcW w:w="2197"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*100.00%</w:t>
            </w:r>
          </w:p>
        </w:tc>
        <w:tc>
          <w:tcPr>
            <w:tcW w:w="192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*3.50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国际邮轮乘务管理</w:t>
            </w:r>
          </w:p>
        </w:tc>
        <w:tc>
          <w:tcPr>
            <w:tcW w:w="2197"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*100.00%</w:t>
            </w:r>
          </w:p>
        </w:tc>
        <w:tc>
          <w:tcPr>
            <w:tcW w:w="192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*3.00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艺术设计</w:t>
            </w:r>
          </w:p>
        </w:tc>
        <w:tc>
          <w:tcPr>
            <w:tcW w:w="2197"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*85.71%</w:t>
            </w:r>
          </w:p>
        </w:tc>
        <w:tc>
          <w:tcPr>
            <w:tcW w:w="192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*3.57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电气自动化技术</w:t>
            </w:r>
          </w:p>
        </w:tc>
        <w:tc>
          <w:tcPr>
            <w:tcW w:w="2197"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*85.71%</w:t>
            </w:r>
          </w:p>
        </w:tc>
        <w:tc>
          <w:tcPr>
            <w:tcW w:w="192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*3.29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大数据技术与应用</w:t>
            </w:r>
          </w:p>
        </w:tc>
        <w:tc>
          <w:tcPr>
            <w:tcW w:w="2197"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*80.00%</w:t>
            </w:r>
          </w:p>
        </w:tc>
        <w:tc>
          <w:tcPr>
            <w:tcW w:w="192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*4.00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酒店管理</w:t>
            </w:r>
          </w:p>
        </w:tc>
        <w:tc>
          <w:tcPr>
            <w:tcW w:w="2197"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*80.00%</w:t>
            </w:r>
          </w:p>
        </w:tc>
        <w:tc>
          <w:tcPr>
            <w:tcW w:w="192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*3.40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音乐表演</w:t>
            </w:r>
          </w:p>
        </w:tc>
        <w:tc>
          <w:tcPr>
            <w:tcW w:w="2197"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*80.00%</w:t>
            </w:r>
          </w:p>
        </w:tc>
        <w:tc>
          <w:tcPr>
            <w:tcW w:w="192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*3.40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机电一体化技术（中高职转段）</w:t>
            </w:r>
          </w:p>
        </w:tc>
        <w:tc>
          <w:tcPr>
            <w:tcW w:w="2197"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*75.00%</w:t>
            </w:r>
          </w:p>
        </w:tc>
        <w:tc>
          <w:tcPr>
            <w:tcW w:w="192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*3.25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传播与策划</w:t>
            </w:r>
          </w:p>
        </w:tc>
        <w:tc>
          <w:tcPr>
            <w:tcW w:w="2197"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*71.43%</w:t>
            </w:r>
          </w:p>
        </w:tc>
        <w:tc>
          <w:tcPr>
            <w:tcW w:w="192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*3.00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轮机工程技术</w:t>
            </w:r>
          </w:p>
        </w:tc>
        <w:tc>
          <w:tcPr>
            <w:tcW w:w="2197"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*66.67%</w:t>
            </w:r>
          </w:p>
        </w:tc>
        <w:tc>
          <w:tcPr>
            <w:tcW w:w="192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*3.00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机械设计与制造（中高职转段）</w:t>
            </w:r>
          </w:p>
        </w:tc>
        <w:tc>
          <w:tcPr>
            <w:tcW w:w="2197"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*57.14%</w:t>
            </w:r>
          </w:p>
        </w:tc>
        <w:tc>
          <w:tcPr>
            <w:tcW w:w="192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*3.00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水路运输与海事管理</w:t>
            </w:r>
          </w:p>
        </w:tc>
        <w:tc>
          <w:tcPr>
            <w:tcW w:w="2197"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*50.00%</w:t>
            </w:r>
          </w:p>
        </w:tc>
        <w:tc>
          <w:tcPr>
            <w:tcW w:w="192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*3.00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机电一体化技术</w:t>
            </w:r>
          </w:p>
        </w:tc>
        <w:tc>
          <w:tcPr>
            <w:tcW w:w="2197"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*50.00%</w:t>
            </w:r>
          </w:p>
        </w:tc>
        <w:tc>
          <w:tcPr>
            <w:tcW w:w="192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*2.50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智能控制技术</w:t>
            </w:r>
          </w:p>
        </w:tc>
        <w:tc>
          <w:tcPr>
            <w:tcW w:w="2197"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*50.00%</w:t>
            </w:r>
          </w:p>
        </w:tc>
        <w:tc>
          <w:tcPr>
            <w:tcW w:w="192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*2.00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669"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bCs/>
                <w:snapToGrid/>
                <w:sz w:val="21"/>
                <w:lang w:eastAsia="zh-CN"/>
              </w:rPr>
            </w:pPr>
            <w:r>
              <w:rPr>
                <w:rFonts w:hint="eastAsia" w:eastAsia="宋体"/>
                <w:b/>
                <w:bCs/>
                <w:snapToGrid/>
                <w:sz w:val="21"/>
                <w:lang w:eastAsia="zh-CN"/>
              </w:rPr>
              <w:t>电子商务</w:t>
            </w:r>
          </w:p>
        </w:tc>
        <w:tc>
          <w:tcPr>
            <w:tcW w:w="2197"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*33.33%</w:t>
            </w:r>
          </w:p>
        </w:tc>
        <w:tc>
          <w:tcPr>
            <w:tcW w:w="192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cs="宋体"/>
                <w:snapToGrid/>
                <w:sz w:val="21"/>
                <w:lang w:eastAsia="zh-CN"/>
              </w:rPr>
            </w:pPr>
            <w:r>
              <w:rPr>
                <w:rFonts w:hint="eastAsia" w:eastAsia="宋体"/>
                <w:snapToGrid/>
                <w:sz w:val="21"/>
                <w:lang w:eastAsia="zh-CN"/>
              </w:rPr>
              <w:t>*2.33</w:t>
            </w:r>
          </w:p>
        </w:tc>
      </w:tr>
    </w:tbl>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Chars="0"/>
        <w:jc w:val="both"/>
        <w:textAlignment w:val="auto"/>
        <w:rPr>
          <w:rFonts w:ascii="黑体" w:hAnsi="黑体" w:eastAsia="黑体"/>
          <w:snapToGrid/>
          <w:sz w:val="21"/>
          <w:lang w:eastAsia="zh-CN"/>
        </w:rPr>
      </w:pPr>
      <w:r>
        <w:rPr>
          <w:rFonts w:ascii="黑体" w:hAnsi="黑体" w:eastAsia="黑体"/>
          <w:snapToGrid/>
          <w:sz w:val="21"/>
          <w:lang w:eastAsia="zh-CN"/>
        </w:rPr>
        <w:t>注：</w:t>
      </w:r>
      <w:r>
        <w:rPr>
          <w:rFonts w:hint="eastAsia" w:ascii="黑体" w:hAnsi="黑体" w:eastAsia="黑体"/>
          <w:snapToGrid/>
          <w:sz w:val="21"/>
          <w:lang w:eastAsia="zh-CN"/>
        </w:rPr>
        <w:t>*</w:t>
      </w:r>
      <w:r>
        <w:rPr>
          <w:rFonts w:ascii="黑体" w:hAnsi="黑体" w:eastAsia="黑体"/>
          <w:snapToGrid/>
          <w:sz w:val="21"/>
          <w:lang w:eastAsia="zh-CN"/>
        </w:rPr>
        <w:t>专业样本量较小，其分析结果仅供参考，不纳入到报告结论的分析范畴。</w:t>
      </w:r>
    </w:p>
    <w:p>
      <w:pPr>
        <w:rPr>
          <w:snapToGrid/>
          <w:sz w:val="21"/>
          <w:lang w:eastAsia="zh-CN"/>
        </w:rPr>
      </w:pPr>
      <w:r>
        <w:rPr>
          <w:rFonts w:hint="eastAsia" w:ascii="仿宋" w:hAnsi="仿宋"/>
          <w:sz w:val="21"/>
          <w:lang w:eastAsia="zh-CN"/>
        </w:rPr>
        <w:t>数据来源：北京新锦成教育技术有限公司</w:t>
      </w:r>
    </w:p>
    <w:p>
      <w:pPr>
        <w:pStyle w:val="2"/>
        <w:ind w:firstLine="640"/>
        <w:rPr>
          <w:lang w:eastAsia="zh-CN"/>
        </w:rPr>
      </w:pPr>
      <w:bookmarkStart w:id="190" w:name="_Toc130307145"/>
      <w:bookmarkStart w:id="191" w:name="_Toc148372476"/>
      <w:bookmarkStart w:id="192" w:name="_Toc151887763"/>
      <w:r>
        <w:rPr>
          <w:rFonts w:hint="eastAsia"/>
          <w:lang w:eastAsia="zh-CN"/>
        </w:rPr>
        <w:t>八</w:t>
      </w:r>
      <w:r>
        <w:rPr>
          <w:lang w:eastAsia="zh-CN"/>
        </w:rPr>
        <w:t>、工作稳定</w:t>
      </w:r>
      <w:r>
        <w:rPr>
          <w:rFonts w:hint="eastAsia"/>
          <w:lang w:eastAsia="zh-CN"/>
        </w:rPr>
        <w:t>度</w:t>
      </w:r>
      <w:bookmarkEnd w:id="190"/>
      <w:bookmarkEnd w:id="191"/>
      <w:bookmarkEnd w:id="192"/>
    </w:p>
    <w:p>
      <w:pPr>
        <w:ind w:firstLine="640"/>
        <w:rPr>
          <w:lang w:val="zh-CN" w:eastAsia="zh-CN"/>
        </w:rPr>
      </w:pPr>
      <w:r>
        <w:rPr>
          <w:rFonts w:hint="eastAsia"/>
          <w:lang w:val="zh-CN" w:eastAsia="zh-CN"/>
        </w:rPr>
        <w:t>工作</w:t>
      </w:r>
      <w:r>
        <w:rPr>
          <w:lang w:val="zh-CN" w:eastAsia="zh-CN"/>
        </w:rPr>
        <w:t>稳定</w:t>
      </w:r>
      <w:r>
        <w:rPr>
          <w:rFonts w:hint="eastAsia"/>
          <w:lang w:val="zh-CN" w:eastAsia="zh-CN"/>
        </w:rPr>
        <w:t>度是</w:t>
      </w:r>
      <w:r>
        <w:rPr>
          <w:lang w:val="zh-CN" w:eastAsia="zh-CN"/>
        </w:rPr>
        <w:t>衡</w:t>
      </w:r>
      <w:r>
        <w:rPr>
          <w:rFonts w:hint="eastAsia"/>
          <w:lang w:val="zh-CN" w:eastAsia="zh-CN"/>
        </w:rPr>
        <w:t>量毕业至今，毕业生更换工作单位的情况。</w:t>
      </w:r>
      <w:r>
        <w:rPr>
          <w:lang w:val="zh-CN" w:eastAsia="zh-CN"/>
        </w:rPr>
        <w:t>离职率=（更换工作单位在1次及以上的人数/总人数）*100.00%</w:t>
      </w:r>
      <w:r>
        <w:rPr>
          <w:rFonts w:hint="eastAsia"/>
          <w:lang w:val="zh-CN" w:eastAsia="zh-CN"/>
        </w:rPr>
        <w:t>，</w:t>
      </w:r>
      <w:r>
        <w:rPr>
          <w:lang w:val="zh-CN" w:eastAsia="zh-CN"/>
        </w:rPr>
        <w:t>稳定</w:t>
      </w:r>
      <w:r>
        <w:rPr>
          <w:rFonts w:hint="eastAsia"/>
          <w:lang w:val="zh-CN" w:eastAsia="zh-CN"/>
        </w:rPr>
        <w:t>度</w:t>
      </w:r>
      <w:r>
        <w:rPr>
          <w:lang w:val="zh-CN" w:eastAsia="zh-CN"/>
        </w:rPr>
        <w:t>=100.00%-离职率。离职率越高，</w:t>
      </w:r>
      <w:r>
        <w:rPr>
          <w:rFonts w:hint="eastAsia"/>
          <w:lang w:val="zh-CN" w:eastAsia="zh-CN"/>
        </w:rPr>
        <w:t>则表示</w:t>
      </w:r>
      <w:r>
        <w:rPr>
          <w:lang w:val="zh-CN" w:eastAsia="zh-CN"/>
        </w:rPr>
        <w:t>其工作稳定</w:t>
      </w:r>
      <w:r>
        <w:rPr>
          <w:rFonts w:hint="eastAsia"/>
          <w:lang w:val="zh-CN" w:eastAsia="zh-CN"/>
        </w:rPr>
        <w:t>度越</w:t>
      </w:r>
      <w:r>
        <w:rPr>
          <w:lang w:val="zh-CN" w:eastAsia="zh-CN"/>
        </w:rPr>
        <w:t>差</w:t>
      </w:r>
      <w:r>
        <w:rPr>
          <w:rFonts w:hint="eastAsia"/>
          <w:lang w:val="zh-CN" w:eastAsia="zh-CN"/>
        </w:rPr>
        <w:t>；</w:t>
      </w:r>
      <w:r>
        <w:rPr>
          <w:lang w:val="zh-CN" w:eastAsia="zh-CN"/>
        </w:rPr>
        <w:t>反之，离职</w:t>
      </w:r>
      <w:r>
        <w:rPr>
          <w:rFonts w:hint="eastAsia"/>
          <w:lang w:val="zh-CN" w:eastAsia="zh-CN"/>
        </w:rPr>
        <w:t>率越低</w:t>
      </w:r>
      <w:r>
        <w:rPr>
          <w:lang w:val="zh-CN" w:eastAsia="zh-CN"/>
        </w:rPr>
        <w:t>，则</w:t>
      </w:r>
      <w:r>
        <w:rPr>
          <w:rFonts w:hint="eastAsia"/>
          <w:lang w:val="zh-CN" w:eastAsia="zh-CN"/>
        </w:rPr>
        <w:t>工作稳定度越高。</w:t>
      </w:r>
    </w:p>
    <w:p>
      <w:pPr>
        <w:ind w:firstLine="640"/>
        <w:rPr>
          <w:lang w:val="zh-CN" w:eastAsia="zh-CN"/>
        </w:rPr>
      </w:pPr>
      <w:r>
        <w:rPr>
          <w:rFonts w:hint="eastAsia"/>
          <w:lang w:val="zh-CN" w:eastAsia="zh-CN"/>
        </w:rPr>
        <w:t>总体</w:t>
      </w:r>
      <w:r>
        <w:rPr>
          <w:lang w:val="zh-CN" w:eastAsia="zh-CN"/>
        </w:rPr>
        <w:t>工作稳定</w:t>
      </w:r>
      <w:r>
        <w:rPr>
          <w:rFonts w:hint="eastAsia"/>
          <w:lang w:val="zh-CN" w:eastAsia="zh-CN"/>
        </w:rPr>
        <w:t>度</w:t>
      </w:r>
      <w:r>
        <w:rPr>
          <w:lang w:val="zh-CN" w:eastAsia="zh-CN"/>
        </w:rPr>
        <w:t>：</w:t>
      </w:r>
      <w:r>
        <w:rPr>
          <w:rFonts w:hint="eastAsia"/>
          <w:lang w:val="zh-CN" w:eastAsia="zh-CN"/>
        </w:rPr>
        <w:t>本校2022届毕业生的稳定度为56.37%，离职率为43.63%，离职次数集中在“1次”。</w:t>
      </w:r>
    </w:p>
    <w:p>
      <w:pPr>
        <w:pBdr>
          <w:top w:val="none" w:color="000000" w:sz="0" w:space="0"/>
          <w:left w:val="none" w:color="000000" w:sz="0" w:space="0"/>
          <w:bottom w:val="none" w:color="000000" w:sz="0" w:space="0"/>
          <w:right w:val="none" w:color="000000" w:sz="0" w:space="0"/>
          <w:between w:val="none" w:color="000000" w:sz="0" w:space="0"/>
        </w:pBdr>
        <w:spacing w:before="163" w:after="156" w:line="360" w:lineRule="auto"/>
        <w:ind w:firstLine="480"/>
        <w:jc w:val="center"/>
        <w:rPr>
          <w:rFonts w:eastAsia="Calibri" w:cs="宋体"/>
          <w:color w:val="auto"/>
          <w:sz w:val="24"/>
          <w:lang w:eastAsia="zh-CN"/>
        </w:rPr>
      </w:pPr>
      <w:r>
        <w:rPr>
          <w:rFonts w:ascii="Calibri" w:hAnsi="Calibri" w:eastAsia="Calibri" w:cs="宋体"/>
          <w:sz w:val="24"/>
          <w:lang w:eastAsia="zh-CN"/>
        </w:rPr>
        <w:drawing>
          <wp:inline distT="0" distB="0" distL="0" distR="0">
            <wp:extent cx="4143375" cy="1714500"/>
            <wp:effectExtent l="0" t="0" r="0" b="0"/>
            <wp:docPr id="533" name="图表 9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193" w:name="_Toc129867529"/>
      <w:r>
        <w:rPr>
          <w:rFonts w:hint="eastAsia" w:eastAsia="黑体"/>
          <w:b/>
          <w:sz w:val="21"/>
          <w:lang w:eastAsia="zh-CN"/>
        </w:rPr>
        <w:t xml:space="preserve">图4. </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图2-2-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18</w:t>
      </w:r>
      <w:r>
        <w:rPr>
          <w:rFonts w:eastAsia="黑体"/>
          <w:b/>
          <w:sz w:val="21"/>
          <w:lang w:eastAsia="zh-CN"/>
        </w:rPr>
        <w:fldChar w:fldCharType="end"/>
      </w:r>
      <w:r>
        <w:rPr>
          <w:rFonts w:eastAsia="黑体"/>
          <w:sz w:val="21"/>
          <w:lang w:eastAsia="zh-CN"/>
        </w:rPr>
        <w:t xml:space="preserve"> </w:t>
      </w:r>
      <w:r>
        <w:rPr>
          <w:rFonts w:hint="eastAsia" w:eastAsia="黑体"/>
          <w:b/>
          <w:sz w:val="21"/>
          <w:lang w:eastAsia="zh-CN"/>
        </w:rPr>
        <w:t xml:space="preserve">  </w:t>
      </w:r>
      <w:r>
        <w:rPr>
          <w:rFonts w:eastAsia="黑体"/>
          <w:b/>
          <w:sz w:val="21"/>
          <w:lang w:eastAsia="zh-CN"/>
        </w:rPr>
        <w:t>2022届</w:t>
      </w:r>
      <w:r>
        <w:rPr>
          <w:rFonts w:hint="eastAsia" w:eastAsia="黑体"/>
          <w:b/>
          <w:sz w:val="21"/>
          <w:lang w:eastAsia="zh-CN"/>
        </w:rPr>
        <w:t>毕业生离职情况分布</w:t>
      </w:r>
      <w:bookmarkEnd w:id="193"/>
    </w:p>
    <w:p>
      <w:pPr>
        <w:rPr>
          <w:snapToGrid/>
          <w:sz w:val="21"/>
          <w:lang w:eastAsia="zh-CN"/>
        </w:rPr>
      </w:pPr>
      <w:r>
        <w:rPr>
          <w:rFonts w:hint="eastAsia" w:ascii="仿宋" w:hAnsi="仿宋"/>
          <w:sz w:val="21"/>
          <w:lang w:eastAsia="zh-CN"/>
        </w:rPr>
        <w:t>数据来源：北京新锦成教育技术有限公司</w:t>
      </w:r>
    </w:p>
    <w:p>
      <w:pPr>
        <w:ind w:firstLine="640"/>
        <w:rPr>
          <w:lang w:val="zh-CN" w:eastAsia="zh-CN"/>
        </w:rPr>
      </w:pPr>
      <w:r>
        <w:rPr>
          <w:rFonts w:hint="eastAsia"/>
          <w:lang w:val="zh-CN" w:eastAsia="zh-CN"/>
        </w:rPr>
        <w:t>本校2022届毕业生离职率（43.63%</w:t>
      </w:r>
      <w:r>
        <w:rPr>
          <w:lang w:val="zh-CN" w:eastAsia="zh-CN"/>
        </w:rPr>
        <w:t>）</w:t>
      </w:r>
      <w:r>
        <w:rPr>
          <w:rFonts w:hint="eastAsia"/>
          <w:lang w:val="zh-CN" w:eastAsia="zh-CN"/>
        </w:rPr>
        <w:t>比全国高校2022届毕业生离职率（</w:t>
      </w:r>
      <w:r>
        <w:rPr>
          <w:lang w:val="zh-CN" w:eastAsia="zh-CN"/>
        </w:rPr>
        <w:t>32.79%）高10.84</w:t>
      </w:r>
      <w:r>
        <w:rPr>
          <w:rFonts w:hint="eastAsia"/>
          <w:lang w:val="zh-CN" w:eastAsia="zh-CN"/>
        </w:rPr>
        <w:t>个百分点；2</w:t>
      </w:r>
      <w:r>
        <w:rPr>
          <w:lang w:val="zh-CN" w:eastAsia="zh-CN"/>
        </w:rPr>
        <w:t>020-2021</w:t>
      </w:r>
      <w:r>
        <w:rPr>
          <w:rFonts w:hint="eastAsia"/>
          <w:lang w:val="zh-CN" w:eastAsia="zh-CN"/>
        </w:rPr>
        <w:t>届毕业生离职率分别为</w:t>
      </w:r>
      <w:r>
        <w:rPr>
          <w:lang w:val="zh-CN" w:eastAsia="zh-CN"/>
        </w:rPr>
        <w:t>59.03%</w:t>
      </w:r>
      <w:r>
        <w:rPr>
          <w:rFonts w:hint="eastAsia"/>
          <w:lang w:val="zh-CN" w:eastAsia="zh-CN"/>
        </w:rPr>
        <w:t>、</w:t>
      </w:r>
      <w:r>
        <w:rPr>
          <w:lang w:val="zh-CN" w:eastAsia="zh-CN"/>
        </w:rPr>
        <w:t>60.37%</w:t>
      </w:r>
      <w:r>
        <w:rPr>
          <w:rFonts w:hint="eastAsia"/>
          <w:lang w:val="zh-CN" w:eastAsia="zh-CN"/>
        </w:rPr>
        <w:t>。</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4"/>
          <w:szCs w:val="24"/>
          <w:lang w:eastAsia="zh-CN"/>
        </w:rPr>
      </w:pPr>
      <w:r>
        <w:rPr>
          <w:rFonts w:eastAsia="宋体"/>
          <w:snapToGrid/>
          <w:sz w:val="24"/>
          <w:lang w:eastAsia="zh-CN"/>
        </w:rPr>
        <w:drawing>
          <wp:inline distT="0" distB="0" distL="0" distR="0">
            <wp:extent cx="5219700" cy="2085975"/>
            <wp:effectExtent l="0" t="0" r="0" b="0"/>
            <wp:docPr id="534" name="图表 98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194" w:name="_Toc129867530"/>
      <w:r>
        <w:rPr>
          <w:rFonts w:hint="eastAsia" w:eastAsia="黑体"/>
          <w:b/>
          <w:sz w:val="21"/>
          <w:lang w:eastAsia="zh-CN"/>
        </w:rPr>
        <w:t>图4.</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图2-2-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19</w:t>
      </w:r>
      <w:r>
        <w:rPr>
          <w:rFonts w:eastAsia="黑体"/>
          <w:b/>
          <w:sz w:val="21"/>
          <w:lang w:eastAsia="zh-CN"/>
        </w:rPr>
        <w:fldChar w:fldCharType="end"/>
      </w:r>
      <w:r>
        <w:rPr>
          <w:rFonts w:eastAsia="黑体"/>
          <w:b/>
          <w:sz w:val="21"/>
          <w:lang w:eastAsia="zh-CN"/>
        </w:rPr>
        <w:t xml:space="preserve">   2020-2022届</w:t>
      </w:r>
      <w:r>
        <w:rPr>
          <w:rFonts w:hint="eastAsia" w:eastAsia="黑体"/>
          <w:b/>
          <w:sz w:val="21"/>
          <w:lang w:eastAsia="zh-CN"/>
        </w:rPr>
        <w:t>毕业生离职率对比分析</w:t>
      </w:r>
      <w:bookmarkEnd w:id="194"/>
    </w:p>
    <w:p>
      <w:pPr>
        <w:rPr>
          <w:snapToGrid/>
          <w:sz w:val="21"/>
          <w:lang w:eastAsia="zh-CN"/>
        </w:rPr>
      </w:pPr>
      <w:r>
        <w:rPr>
          <w:rFonts w:hint="eastAsia" w:ascii="仿宋" w:hAnsi="仿宋"/>
          <w:sz w:val="21"/>
          <w:lang w:eastAsia="zh-CN"/>
        </w:rPr>
        <w:t>数据来源：北京新锦成教育技术有限公司</w:t>
      </w:r>
    </w:p>
    <w:p>
      <w:pPr>
        <w:ind w:firstLine="640"/>
        <w:rPr>
          <w:lang w:val="zh-CN" w:eastAsia="zh-CN"/>
        </w:rPr>
      </w:pPr>
      <w:r>
        <w:rPr>
          <w:rFonts w:hint="eastAsia"/>
          <w:lang w:val="zh-CN" w:eastAsia="zh-CN"/>
        </w:rPr>
        <w:t>离职原因：本校2022届毕业生离职的主要原因是“发展前景有限”“工资福利较差”。</w:t>
      </w:r>
    </w:p>
    <w:p>
      <w:pPr>
        <w:pBdr>
          <w:top w:val="none" w:color="000000" w:sz="0" w:space="0"/>
          <w:left w:val="none" w:color="000000" w:sz="0" w:space="0"/>
          <w:bottom w:val="none" w:color="000000" w:sz="0" w:space="0"/>
          <w:right w:val="none" w:color="000000" w:sz="0" w:space="0"/>
          <w:between w:val="none" w:color="000000" w:sz="0" w:space="0"/>
        </w:pBdr>
        <w:spacing w:before="163" w:after="120" w:line="360" w:lineRule="auto"/>
        <w:ind w:firstLine="480"/>
        <w:jc w:val="center"/>
        <w:rPr>
          <w:rFonts w:ascii="Calibri" w:hAnsi="Calibri" w:eastAsia="Calibri" w:cs="宋体"/>
          <w:sz w:val="24"/>
          <w:lang w:eastAsia="zh-CN"/>
        </w:rPr>
      </w:pPr>
      <w:r>
        <w:rPr>
          <w:rFonts w:ascii="Calibri" w:hAnsi="Calibri" w:eastAsia="Calibri" w:cs="宋体"/>
          <w:sz w:val="24"/>
          <w:lang w:eastAsia="zh-CN"/>
        </w:rPr>
        <w:drawing>
          <wp:inline distT="0" distB="0" distL="0" distR="0">
            <wp:extent cx="4991100" cy="1944370"/>
            <wp:effectExtent l="0" t="0" r="0" b="0"/>
            <wp:docPr id="535"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195" w:name="_Toc129867531"/>
      <w:r>
        <w:rPr>
          <w:rFonts w:hint="eastAsia" w:eastAsia="黑体"/>
          <w:b/>
          <w:sz w:val="21"/>
          <w:lang w:eastAsia="zh-CN"/>
        </w:rPr>
        <w:t>图4.</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图2-2-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20</w:t>
      </w:r>
      <w:r>
        <w:rPr>
          <w:rFonts w:eastAsia="黑体"/>
          <w:b/>
          <w:sz w:val="21"/>
          <w:lang w:eastAsia="zh-CN"/>
        </w:rPr>
        <w:fldChar w:fldCharType="end"/>
      </w:r>
      <w:r>
        <w:rPr>
          <w:rFonts w:eastAsia="黑体"/>
          <w:b/>
          <w:sz w:val="21"/>
          <w:lang w:eastAsia="zh-CN"/>
        </w:rPr>
        <w:t xml:space="preserve">  </w:t>
      </w:r>
      <w:r>
        <w:rPr>
          <w:rFonts w:hint="eastAsia" w:eastAsia="黑体"/>
          <w:b/>
          <w:sz w:val="21"/>
          <w:lang w:eastAsia="zh-CN"/>
        </w:rPr>
        <w:t>2022届毕业生离职</w:t>
      </w:r>
      <w:r>
        <w:rPr>
          <w:rFonts w:eastAsia="黑体"/>
          <w:b/>
          <w:sz w:val="21"/>
          <w:lang w:eastAsia="zh-CN"/>
        </w:rPr>
        <w:t>原因</w:t>
      </w:r>
      <w:r>
        <w:rPr>
          <w:rFonts w:hint="eastAsia" w:eastAsia="黑体"/>
          <w:b/>
          <w:sz w:val="21"/>
          <w:lang w:eastAsia="zh-CN"/>
        </w:rPr>
        <w:t>分析</w:t>
      </w:r>
      <w:bookmarkEnd w:id="195"/>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Chars="0"/>
        <w:jc w:val="both"/>
        <w:textAlignment w:val="auto"/>
        <w:rPr>
          <w:rFonts w:ascii="黑体" w:hAnsi="黑体" w:eastAsia="黑体"/>
          <w:snapToGrid/>
          <w:sz w:val="21"/>
          <w:lang w:eastAsia="zh-CN"/>
        </w:rPr>
      </w:pPr>
      <w:r>
        <w:rPr>
          <w:rFonts w:ascii="黑体" w:hAnsi="黑体" w:eastAsia="黑体"/>
          <w:snapToGrid/>
          <w:sz w:val="21"/>
          <w:lang w:eastAsia="zh-CN"/>
        </w:rPr>
        <w:t>注：</w:t>
      </w:r>
      <w:r>
        <w:rPr>
          <w:rFonts w:hint="eastAsia" w:ascii="黑体" w:hAnsi="黑体" w:eastAsia="黑体"/>
          <w:snapToGrid/>
          <w:sz w:val="21"/>
          <w:lang w:eastAsia="zh-CN"/>
        </w:rPr>
        <w:t>该</w:t>
      </w:r>
      <w:r>
        <w:rPr>
          <w:rFonts w:ascii="黑体" w:hAnsi="黑体" w:eastAsia="黑体"/>
          <w:snapToGrid/>
          <w:sz w:val="21"/>
          <w:lang w:eastAsia="zh-CN"/>
        </w:rPr>
        <w:t>题目为多选题，</w:t>
      </w:r>
      <w:r>
        <w:rPr>
          <w:rFonts w:hint="eastAsia" w:ascii="黑体" w:hAnsi="黑体" w:eastAsia="黑体"/>
          <w:snapToGrid/>
          <w:sz w:val="21"/>
          <w:lang w:eastAsia="zh-CN"/>
        </w:rPr>
        <w:t>因此选项</w:t>
      </w:r>
      <w:r>
        <w:rPr>
          <w:rFonts w:ascii="黑体" w:hAnsi="黑体" w:eastAsia="黑体"/>
          <w:snapToGrid/>
          <w:sz w:val="21"/>
          <w:lang w:eastAsia="zh-CN"/>
        </w:rPr>
        <w:t>的</w:t>
      </w:r>
      <w:r>
        <w:rPr>
          <w:rFonts w:hint="eastAsia" w:ascii="黑体" w:hAnsi="黑体" w:eastAsia="黑体"/>
          <w:snapToGrid/>
          <w:sz w:val="21"/>
          <w:lang w:eastAsia="zh-CN"/>
        </w:rPr>
        <w:t>百分比之和</w:t>
      </w:r>
      <w:r>
        <w:rPr>
          <w:rFonts w:hint="eastAsia" w:eastAsia="黑体"/>
          <w:snapToGrid/>
          <w:sz w:val="21"/>
          <w:lang w:eastAsia="zh-CN"/>
        </w:rPr>
        <w:t>不是100.00%</w:t>
      </w:r>
      <w:r>
        <w:rPr>
          <w:rFonts w:ascii="黑体" w:hAnsi="黑体" w:eastAsia="黑体"/>
          <w:snapToGrid/>
          <w:sz w:val="21"/>
          <w:lang w:eastAsia="zh-CN"/>
        </w:rPr>
        <w:t>。</w:t>
      </w:r>
    </w:p>
    <w:p>
      <w:pPr>
        <w:rPr>
          <w:snapToGrid/>
          <w:sz w:val="21"/>
          <w:lang w:eastAsia="zh-CN"/>
        </w:rPr>
      </w:pPr>
      <w:r>
        <w:rPr>
          <w:rFonts w:hint="eastAsia" w:ascii="仿宋" w:hAnsi="仿宋"/>
          <w:sz w:val="21"/>
          <w:lang w:eastAsia="zh-CN"/>
        </w:rPr>
        <w:t>数据来源：北京新锦成教育技术有限公司</w:t>
      </w:r>
    </w:p>
    <w:p>
      <w:pPr>
        <w:pStyle w:val="3"/>
        <w:ind w:firstLine="643"/>
        <w:rPr>
          <w:lang w:val="zh-CN" w:eastAsia="zh-CN"/>
        </w:rPr>
      </w:pPr>
      <w:bookmarkStart w:id="196" w:name="_Toc151887764"/>
      <w:r>
        <w:rPr>
          <w:rFonts w:hint="eastAsia"/>
          <w:lang w:val="zh-CN" w:eastAsia="zh-CN"/>
        </w:rPr>
        <w:t>（一）</w:t>
      </w:r>
      <w:r>
        <w:rPr>
          <w:lang w:val="zh-CN" w:eastAsia="zh-CN"/>
        </w:rPr>
        <w:t>各</w:t>
      </w:r>
      <w:r>
        <w:rPr>
          <w:rFonts w:hint="eastAsia"/>
          <w:lang w:val="zh-CN" w:eastAsia="zh-CN"/>
        </w:rPr>
        <w:t>学院工作稳定度</w:t>
      </w:r>
      <w:bookmarkEnd w:id="196"/>
    </w:p>
    <w:p>
      <w:pPr>
        <w:ind w:firstLine="640"/>
        <w:rPr>
          <w:lang w:val="zh-CN" w:eastAsia="zh-CN"/>
        </w:rPr>
      </w:pPr>
      <w:r>
        <w:rPr>
          <w:rFonts w:hint="eastAsia"/>
          <w:lang w:val="zh-CN" w:eastAsia="zh-CN"/>
        </w:rPr>
        <w:t>各学院工作稳定度：毕业至今</w:t>
      </w:r>
      <w:r>
        <w:rPr>
          <w:lang w:val="zh-CN" w:eastAsia="zh-CN"/>
        </w:rPr>
        <w:t>，</w:t>
      </w:r>
      <w:r>
        <w:rPr>
          <w:rFonts w:hint="eastAsia"/>
          <w:lang w:val="zh-CN" w:eastAsia="zh-CN"/>
        </w:rPr>
        <w:t>“化学与材料工程学院”“海事学院”的毕业生工作稳定度相对较高，均在73.68%及以上；而“设计学院”的毕业生离职率相对较高，为64.29%。</w:t>
      </w:r>
    </w:p>
    <w:p>
      <w:pPr>
        <w:pBdr>
          <w:top w:val="none" w:color="000000" w:sz="0" w:space="0"/>
          <w:left w:val="none" w:color="000000" w:sz="0" w:space="0"/>
          <w:bottom w:val="none" w:color="000000" w:sz="0" w:space="0"/>
          <w:right w:val="none" w:color="000000" w:sz="0" w:space="0"/>
          <w:between w:val="none" w:color="000000" w:sz="0" w:space="0"/>
        </w:pBdr>
        <w:spacing w:line="360" w:lineRule="auto"/>
        <w:ind w:firstLine="480"/>
        <w:jc w:val="both"/>
        <w:rPr>
          <w:rFonts w:eastAsia="Calibri" w:cs="宋体"/>
          <w:sz w:val="24"/>
          <w:lang w:eastAsia="zh-CN"/>
        </w:rPr>
      </w:pPr>
      <w:r>
        <w:rPr>
          <w:rFonts w:eastAsia="Calibri" w:cs="宋体"/>
          <w:sz w:val="24"/>
          <w:lang w:eastAsia="zh-CN"/>
        </w:rPr>
        <w:drawing>
          <wp:inline distT="0" distB="0" distL="0" distR="0">
            <wp:extent cx="5334000" cy="2895600"/>
            <wp:effectExtent l="0" t="0" r="0" b="0"/>
            <wp:docPr id="536" name="图表 9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197" w:name="_Toc129867532"/>
      <w:r>
        <w:rPr>
          <w:rFonts w:hint="eastAsia" w:eastAsia="黑体"/>
          <w:b/>
          <w:sz w:val="21"/>
          <w:lang w:eastAsia="zh-CN"/>
        </w:rPr>
        <w:t xml:space="preserve">图4. </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图2-2-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21</w:t>
      </w:r>
      <w:r>
        <w:rPr>
          <w:rFonts w:eastAsia="黑体"/>
          <w:b/>
          <w:sz w:val="21"/>
          <w:lang w:eastAsia="zh-CN"/>
        </w:rPr>
        <w:fldChar w:fldCharType="end"/>
      </w:r>
      <w:r>
        <w:rPr>
          <w:rFonts w:hint="eastAsia" w:eastAsia="黑体"/>
          <w:b/>
          <w:sz w:val="21"/>
          <w:lang w:eastAsia="zh-CN"/>
        </w:rPr>
        <w:t xml:space="preserve">  </w:t>
      </w:r>
      <w:r>
        <w:rPr>
          <w:rFonts w:eastAsia="黑体"/>
          <w:b/>
          <w:sz w:val="21"/>
          <w:lang w:eastAsia="zh-CN"/>
        </w:rPr>
        <w:t>各</w:t>
      </w:r>
      <w:r>
        <w:rPr>
          <w:rFonts w:hint="eastAsia" w:eastAsia="黑体"/>
          <w:b/>
          <w:sz w:val="21"/>
          <w:lang w:eastAsia="zh-CN"/>
        </w:rPr>
        <w:t>学院毕业生工作稳定度</w:t>
      </w:r>
      <w:bookmarkEnd w:id="197"/>
    </w:p>
    <w:p>
      <w:pPr>
        <w:pBdr>
          <w:top w:val="none" w:color="000000" w:sz="0" w:space="0"/>
          <w:left w:val="none" w:color="000000" w:sz="0" w:space="0"/>
          <w:bottom w:val="none" w:color="000000" w:sz="0" w:space="0"/>
          <w:right w:val="none" w:color="000000" w:sz="0" w:space="0"/>
          <w:between w:val="none" w:color="000000" w:sz="0" w:space="0"/>
        </w:pBdr>
        <w:spacing w:line="240" w:lineRule="auto"/>
        <w:jc w:val="both"/>
        <w:rPr>
          <w:rFonts w:ascii="黑体" w:hAnsi="黑体" w:eastAsia="黑体" w:cs="宋体"/>
          <w:sz w:val="21"/>
          <w:lang w:eastAsia="zh-CN"/>
        </w:rPr>
      </w:pPr>
      <w:r>
        <w:rPr>
          <w:rFonts w:hint="eastAsia" w:ascii="黑体" w:hAnsi="黑体" w:eastAsia="黑体" w:cs="宋体"/>
          <w:sz w:val="21"/>
          <w:lang w:eastAsia="zh-CN"/>
        </w:rPr>
        <w:t>注</w:t>
      </w:r>
      <w:r>
        <w:rPr>
          <w:rFonts w:ascii="黑体" w:hAnsi="黑体" w:eastAsia="黑体" w:cs="宋体"/>
          <w:sz w:val="21"/>
          <w:lang w:eastAsia="zh-CN"/>
        </w:rPr>
        <w:t>：</w:t>
      </w:r>
      <w:r>
        <w:rPr>
          <w:rFonts w:hint="eastAsia" w:ascii="黑体" w:hAnsi="黑体" w:eastAsia="黑体" w:cs="宋体"/>
          <w:sz w:val="21"/>
          <w:lang w:eastAsia="zh-CN"/>
        </w:rPr>
        <w:t>*学院样本量较小，其分析结果仅供参考，不纳入到报告结论的分析范畴。</w:t>
      </w:r>
    </w:p>
    <w:p>
      <w:pPr>
        <w:rPr>
          <w:snapToGrid/>
          <w:sz w:val="21"/>
          <w:lang w:eastAsia="zh-CN"/>
        </w:rPr>
      </w:pPr>
      <w:r>
        <w:rPr>
          <w:rFonts w:hint="eastAsia" w:ascii="仿宋" w:hAnsi="仿宋"/>
          <w:sz w:val="21"/>
          <w:lang w:eastAsia="zh-CN"/>
        </w:rPr>
        <w:t>数据来源：北京新锦成教育技术有限公司</w:t>
      </w:r>
    </w:p>
    <w:p>
      <w:pPr>
        <w:pStyle w:val="3"/>
        <w:ind w:firstLine="643"/>
        <w:rPr>
          <w:lang w:val="zh-CN" w:eastAsia="zh-CN"/>
        </w:rPr>
      </w:pPr>
      <w:bookmarkStart w:id="198" w:name="_Toc151887765"/>
      <w:r>
        <w:rPr>
          <w:rFonts w:hint="eastAsia"/>
          <w:lang w:val="zh-CN" w:eastAsia="zh-CN"/>
        </w:rPr>
        <w:t>（二）</w:t>
      </w:r>
      <w:r>
        <w:rPr>
          <w:lang w:val="zh-CN" w:eastAsia="zh-CN"/>
        </w:rPr>
        <w:t>各</w:t>
      </w:r>
      <w:r>
        <w:rPr>
          <w:rFonts w:hint="eastAsia"/>
          <w:lang w:val="zh-CN" w:eastAsia="zh-CN"/>
        </w:rPr>
        <w:t>专业工作稳定度</w:t>
      </w:r>
      <w:bookmarkEnd w:id="198"/>
    </w:p>
    <w:p>
      <w:pPr>
        <w:ind w:firstLine="640"/>
        <w:rPr>
          <w:lang w:val="zh-CN" w:eastAsia="zh-CN"/>
        </w:rPr>
      </w:pPr>
      <w:r>
        <w:rPr>
          <w:rFonts w:hint="eastAsia"/>
          <w:lang w:val="zh-CN" w:eastAsia="zh-CN"/>
        </w:rPr>
        <w:t>各</w:t>
      </w:r>
      <w:r>
        <w:rPr>
          <w:lang w:val="zh-CN" w:eastAsia="zh-CN"/>
        </w:rPr>
        <w:t>专业</w:t>
      </w:r>
      <w:r>
        <w:rPr>
          <w:rFonts w:hint="eastAsia"/>
          <w:lang w:val="zh-CN" w:eastAsia="zh-CN"/>
        </w:rPr>
        <w:t>工作</w:t>
      </w:r>
      <w:r>
        <w:rPr>
          <w:lang w:val="zh-CN" w:eastAsia="zh-CN"/>
        </w:rPr>
        <w:t>稳定</w:t>
      </w:r>
      <w:r>
        <w:rPr>
          <w:rFonts w:hint="eastAsia"/>
          <w:lang w:val="zh-CN" w:eastAsia="zh-CN"/>
        </w:rPr>
        <w:t>度</w:t>
      </w:r>
      <w:r>
        <w:rPr>
          <w:lang w:val="zh-CN" w:eastAsia="zh-CN"/>
        </w:rPr>
        <w:t>：</w:t>
      </w:r>
      <w:r>
        <w:rPr>
          <w:rFonts w:hint="eastAsia"/>
          <w:lang w:val="zh-CN" w:eastAsia="zh-CN"/>
        </w:rPr>
        <w:t>毕业至今</w:t>
      </w:r>
      <w:r>
        <w:rPr>
          <w:lang w:val="zh-CN" w:eastAsia="zh-CN"/>
        </w:rPr>
        <w:t>，</w:t>
      </w:r>
      <w:r>
        <w:rPr>
          <w:rFonts w:hint="eastAsia"/>
          <w:lang w:val="zh-CN" w:eastAsia="zh-CN"/>
        </w:rPr>
        <w:t>“食品营养与检测”“石油化工技术”“药品生产技术”</w:t>
      </w:r>
      <w:r>
        <w:rPr>
          <w:lang w:val="zh-CN" w:eastAsia="zh-CN"/>
        </w:rPr>
        <w:t>专业</w:t>
      </w:r>
      <w:r>
        <w:rPr>
          <w:rFonts w:hint="eastAsia"/>
          <w:lang w:val="zh-CN" w:eastAsia="zh-CN"/>
        </w:rPr>
        <w:t>的毕业生工作</w:t>
      </w:r>
      <w:r>
        <w:rPr>
          <w:lang w:val="zh-CN" w:eastAsia="zh-CN"/>
        </w:rPr>
        <w:t>稳定</w:t>
      </w:r>
      <w:r>
        <w:rPr>
          <w:rFonts w:hint="eastAsia"/>
          <w:lang w:val="zh-CN" w:eastAsia="zh-CN"/>
        </w:rPr>
        <w:t>度</w:t>
      </w:r>
      <w:r>
        <w:rPr>
          <w:lang w:val="zh-CN" w:eastAsia="zh-CN"/>
        </w:rPr>
        <w:t>相对较好，</w:t>
      </w:r>
      <w:r>
        <w:rPr>
          <w:rFonts w:hint="eastAsia"/>
          <w:lang w:val="zh-CN" w:eastAsia="zh-CN"/>
        </w:rPr>
        <w:t>75.00%及以上</w:t>
      </w:r>
      <w:r>
        <w:rPr>
          <w:lang w:val="zh-CN" w:eastAsia="zh-CN"/>
        </w:rPr>
        <w:t>的</w:t>
      </w:r>
      <w:r>
        <w:rPr>
          <w:rFonts w:hint="eastAsia"/>
          <w:lang w:val="zh-CN" w:eastAsia="zh-CN"/>
        </w:rPr>
        <w:t>毕业生</w:t>
      </w:r>
      <w:r>
        <w:rPr>
          <w:lang w:val="zh-CN" w:eastAsia="zh-CN"/>
        </w:rPr>
        <w:t>均</w:t>
      </w:r>
      <w:r>
        <w:rPr>
          <w:rFonts w:hint="eastAsia"/>
          <w:lang w:val="zh-CN" w:eastAsia="zh-CN"/>
        </w:rPr>
        <w:t>未曾</w:t>
      </w:r>
      <w:r>
        <w:rPr>
          <w:lang w:val="zh-CN" w:eastAsia="zh-CN"/>
        </w:rPr>
        <w:t>离职；而</w:t>
      </w:r>
      <w:r>
        <w:rPr>
          <w:rFonts w:hint="eastAsia"/>
          <w:lang w:val="zh-CN" w:eastAsia="zh-CN"/>
        </w:rPr>
        <w:t>“计算机网络技术”</w:t>
      </w:r>
      <w:r>
        <w:rPr>
          <w:lang w:val="zh-CN" w:eastAsia="zh-CN"/>
        </w:rPr>
        <w:t>专业</w:t>
      </w:r>
      <w:r>
        <w:rPr>
          <w:rFonts w:hint="eastAsia"/>
          <w:lang w:val="zh-CN" w:eastAsia="zh-CN"/>
        </w:rPr>
        <w:t>的毕业生</w:t>
      </w:r>
      <w:r>
        <w:rPr>
          <w:lang w:val="zh-CN" w:eastAsia="zh-CN"/>
        </w:rPr>
        <w:t>稳定</w:t>
      </w:r>
      <w:r>
        <w:rPr>
          <w:rFonts w:hint="eastAsia"/>
          <w:lang w:val="zh-CN" w:eastAsia="zh-CN"/>
        </w:rPr>
        <w:t>度</w:t>
      </w:r>
      <w:r>
        <w:rPr>
          <w:lang w:val="zh-CN" w:eastAsia="zh-CN"/>
        </w:rPr>
        <w:t>相对较差，8</w:t>
      </w:r>
      <w:r>
        <w:rPr>
          <w:rFonts w:hint="eastAsia"/>
          <w:lang w:val="zh-CN" w:eastAsia="zh-CN"/>
        </w:rPr>
        <w:t>0.00%</w:t>
      </w:r>
      <w:r>
        <w:rPr>
          <w:lang w:val="zh-CN" w:eastAsia="zh-CN"/>
        </w:rPr>
        <w:t>的</w:t>
      </w:r>
      <w:r>
        <w:rPr>
          <w:rFonts w:hint="eastAsia"/>
          <w:lang w:val="zh-CN" w:eastAsia="zh-CN"/>
        </w:rPr>
        <w:t>毕业生有</w:t>
      </w:r>
      <w:r>
        <w:rPr>
          <w:lang w:val="zh-CN" w:eastAsia="zh-CN"/>
        </w:rPr>
        <w:t>过离职</w:t>
      </w:r>
      <w:r>
        <w:rPr>
          <w:rFonts w:hint="eastAsia"/>
          <w:lang w:val="zh-CN" w:eastAsia="zh-CN"/>
        </w:rPr>
        <w:t>经历</w:t>
      </w:r>
      <w:r>
        <w:rPr>
          <w:lang w:val="zh-CN" w:eastAsia="zh-CN"/>
        </w:rPr>
        <w:t>。</w:t>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199" w:name="_Toc129867533"/>
      <w:r>
        <w:rPr>
          <w:rFonts w:hint="eastAsia" w:eastAsia="黑体"/>
          <w:b/>
          <w:sz w:val="21"/>
          <w:lang w:eastAsia="zh-CN"/>
        </w:rPr>
        <w:t xml:space="preserve">表4. </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表2-2-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14</w:t>
      </w:r>
      <w:r>
        <w:rPr>
          <w:rFonts w:eastAsia="黑体"/>
          <w:b/>
          <w:sz w:val="21"/>
          <w:lang w:eastAsia="zh-CN"/>
        </w:rPr>
        <w:fldChar w:fldCharType="end"/>
      </w:r>
      <w:r>
        <w:rPr>
          <w:rFonts w:eastAsia="黑体"/>
          <w:b/>
          <w:sz w:val="21"/>
          <w:lang w:eastAsia="zh-CN"/>
        </w:rPr>
        <w:t xml:space="preserve">  2022届</w:t>
      </w:r>
      <w:r>
        <w:rPr>
          <w:rFonts w:hint="eastAsia" w:eastAsia="黑体"/>
          <w:b/>
          <w:sz w:val="21"/>
          <w:lang w:eastAsia="zh-CN"/>
        </w:rPr>
        <w:t>各专业毕业生工作稳定度分布</w:t>
      </w:r>
      <w:bookmarkEnd w:id="199"/>
    </w:p>
    <w:tbl>
      <w:tblPr>
        <w:tblStyle w:val="37"/>
        <w:tblW w:w="8656" w:type="dxa"/>
        <w:jc w:val="cente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fixed"/>
        <w:tblCellMar>
          <w:top w:w="0" w:type="dxa"/>
          <w:left w:w="108" w:type="dxa"/>
          <w:bottom w:w="0" w:type="dxa"/>
          <w:right w:w="108" w:type="dxa"/>
        </w:tblCellMar>
      </w:tblPr>
      <w:tblGrid>
        <w:gridCol w:w="4595"/>
        <w:gridCol w:w="2166"/>
        <w:gridCol w:w="1895"/>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jc w:val="center"/>
        </w:trPr>
        <w:tc>
          <w:tcPr>
            <w:tcW w:w="4595" w:type="dxa"/>
            <w:tcBorders>
              <w:top w:val="single" w:color="0F6FC6" w:sz="4" w:space="0"/>
              <w:left w:val="single" w:color="0F6FC6" w:sz="4" w:space="0"/>
              <w:bottom w:val="single" w:color="0F6FC6" w:sz="4" w:space="0"/>
              <w:right w:val="nil"/>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ascii="宋体" w:hAnsi="宋体" w:eastAsia="宋体"/>
                <w:b/>
                <w:bCs/>
                <w:snapToGrid/>
                <w:color w:val="CCE8CF"/>
                <w:sz w:val="21"/>
                <w:lang w:eastAsia="zh-CN"/>
              </w:rPr>
              <w:t>专业</w:t>
            </w:r>
          </w:p>
        </w:tc>
        <w:tc>
          <w:tcPr>
            <w:tcW w:w="2166" w:type="dxa"/>
            <w:tcBorders>
              <w:top w:val="single" w:color="0F6FC6" w:sz="4" w:space="0"/>
              <w:bottom w:val="single" w:color="0F6FC6" w:sz="4" w:space="0"/>
              <w:right w:val="nil"/>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ascii="宋体" w:hAnsi="宋体" w:eastAsia="宋体"/>
                <w:b/>
                <w:bCs/>
                <w:snapToGrid/>
                <w:color w:val="CCE8CF"/>
                <w:sz w:val="21"/>
                <w:lang w:eastAsia="zh-CN"/>
              </w:rPr>
              <w:t>稳定度</w:t>
            </w:r>
          </w:p>
        </w:tc>
        <w:tc>
          <w:tcPr>
            <w:tcW w:w="1895" w:type="dxa"/>
            <w:tcBorders>
              <w:top w:val="single" w:color="0F6FC6" w:sz="4" w:space="0"/>
              <w:bottom w:val="single" w:color="0F6FC6" w:sz="4" w:space="0"/>
              <w:right w:val="single" w:color="0F6FC6"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ascii="宋体" w:hAnsi="宋体" w:eastAsia="宋体"/>
                <w:b/>
                <w:bCs/>
                <w:snapToGrid/>
                <w:color w:val="CCE8CF"/>
                <w:sz w:val="21"/>
                <w:lang w:eastAsia="zh-CN"/>
              </w:rPr>
              <w:t>离职率</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食品营养与检测</w:t>
            </w:r>
          </w:p>
        </w:tc>
        <w:tc>
          <w:tcPr>
            <w:tcW w:w="2166"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100.00%</w:t>
            </w:r>
          </w:p>
        </w:tc>
        <w:tc>
          <w:tcPr>
            <w:tcW w:w="18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石油化工技术</w:t>
            </w:r>
          </w:p>
        </w:tc>
        <w:tc>
          <w:tcPr>
            <w:tcW w:w="2166"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83.33%</w:t>
            </w:r>
          </w:p>
        </w:tc>
        <w:tc>
          <w:tcPr>
            <w:tcW w:w="18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16.67%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药品生产技术</w:t>
            </w:r>
          </w:p>
        </w:tc>
        <w:tc>
          <w:tcPr>
            <w:tcW w:w="2166"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75.00%</w:t>
            </w:r>
          </w:p>
        </w:tc>
        <w:tc>
          <w:tcPr>
            <w:tcW w:w="18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25.00%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航海技术</w:t>
            </w:r>
          </w:p>
        </w:tc>
        <w:tc>
          <w:tcPr>
            <w:tcW w:w="2166"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72.73%</w:t>
            </w:r>
          </w:p>
        </w:tc>
        <w:tc>
          <w:tcPr>
            <w:tcW w:w="18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27.27%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中药学</w:t>
            </w:r>
          </w:p>
        </w:tc>
        <w:tc>
          <w:tcPr>
            <w:tcW w:w="2166"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71.11%</w:t>
            </w:r>
          </w:p>
        </w:tc>
        <w:tc>
          <w:tcPr>
            <w:tcW w:w="18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28.89%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市场营销</w:t>
            </w:r>
          </w:p>
        </w:tc>
        <w:tc>
          <w:tcPr>
            <w:tcW w:w="2166"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70.00%</w:t>
            </w:r>
          </w:p>
        </w:tc>
        <w:tc>
          <w:tcPr>
            <w:tcW w:w="18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软件技术</w:t>
            </w:r>
          </w:p>
        </w:tc>
        <w:tc>
          <w:tcPr>
            <w:tcW w:w="2166"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70.00%</w:t>
            </w:r>
          </w:p>
        </w:tc>
        <w:tc>
          <w:tcPr>
            <w:tcW w:w="18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新能源汽车技术</w:t>
            </w:r>
          </w:p>
        </w:tc>
        <w:tc>
          <w:tcPr>
            <w:tcW w:w="2166"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66.67%</w:t>
            </w:r>
          </w:p>
        </w:tc>
        <w:tc>
          <w:tcPr>
            <w:tcW w:w="18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33.33%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社区康复</w:t>
            </w:r>
          </w:p>
        </w:tc>
        <w:tc>
          <w:tcPr>
            <w:tcW w:w="2166"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66.67%</w:t>
            </w:r>
          </w:p>
        </w:tc>
        <w:tc>
          <w:tcPr>
            <w:tcW w:w="18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33.33%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旅游管理</w:t>
            </w:r>
          </w:p>
        </w:tc>
        <w:tc>
          <w:tcPr>
            <w:tcW w:w="2166"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62.50%</w:t>
            </w:r>
          </w:p>
        </w:tc>
        <w:tc>
          <w:tcPr>
            <w:tcW w:w="18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37.50%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护理</w:t>
            </w:r>
          </w:p>
        </w:tc>
        <w:tc>
          <w:tcPr>
            <w:tcW w:w="2166"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59.05%</w:t>
            </w:r>
          </w:p>
        </w:tc>
        <w:tc>
          <w:tcPr>
            <w:tcW w:w="18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40.95%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健康管理</w:t>
            </w:r>
          </w:p>
        </w:tc>
        <w:tc>
          <w:tcPr>
            <w:tcW w:w="2166"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57.14%</w:t>
            </w:r>
          </w:p>
        </w:tc>
        <w:tc>
          <w:tcPr>
            <w:tcW w:w="18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42.86%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烹调工艺与营养</w:t>
            </w:r>
          </w:p>
        </w:tc>
        <w:tc>
          <w:tcPr>
            <w:tcW w:w="2166"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55.56%</w:t>
            </w:r>
          </w:p>
        </w:tc>
        <w:tc>
          <w:tcPr>
            <w:tcW w:w="18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44.44%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汽车检测与维修技术</w:t>
            </w:r>
          </w:p>
        </w:tc>
        <w:tc>
          <w:tcPr>
            <w:tcW w:w="2166"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52.94%</w:t>
            </w:r>
          </w:p>
        </w:tc>
        <w:tc>
          <w:tcPr>
            <w:tcW w:w="18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47.06%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工程造价</w:t>
            </w:r>
          </w:p>
        </w:tc>
        <w:tc>
          <w:tcPr>
            <w:tcW w:w="2166"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50.00%</w:t>
            </w:r>
          </w:p>
        </w:tc>
        <w:tc>
          <w:tcPr>
            <w:tcW w:w="18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风景园林设计</w:t>
            </w:r>
          </w:p>
        </w:tc>
        <w:tc>
          <w:tcPr>
            <w:tcW w:w="2166"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50.00%</w:t>
            </w:r>
          </w:p>
        </w:tc>
        <w:tc>
          <w:tcPr>
            <w:tcW w:w="18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建筑工程技术</w:t>
            </w:r>
          </w:p>
        </w:tc>
        <w:tc>
          <w:tcPr>
            <w:tcW w:w="2166"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47.62%</w:t>
            </w:r>
          </w:p>
        </w:tc>
        <w:tc>
          <w:tcPr>
            <w:tcW w:w="18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52.38%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口腔医学技术</w:t>
            </w:r>
          </w:p>
        </w:tc>
        <w:tc>
          <w:tcPr>
            <w:tcW w:w="2166"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46.15%</w:t>
            </w:r>
          </w:p>
        </w:tc>
        <w:tc>
          <w:tcPr>
            <w:tcW w:w="18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53.85%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工商企业管理</w:t>
            </w:r>
          </w:p>
        </w:tc>
        <w:tc>
          <w:tcPr>
            <w:tcW w:w="2166"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46.15%</w:t>
            </w:r>
          </w:p>
        </w:tc>
        <w:tc>
          <w:tcPr>
            <w:tcW w:w="18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53.85%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会计</w:t>
            </w:r>
          </w:p>
        </w:tc>
        <w:tc>
          <w:tcPr>
            <w:tcW w:w="2166"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43.75%</w:t>
            </w:r>
          </w:p>
        </w:tc>
        <w:tc>
          <w:tcPr>
            <w:tcW w:w="18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56.25%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物流管理</w:t>
            </w:r>
          </w:p>
        </w:tc>
        <w:tc>
          <w:tcPr>
            <w:tcW w:w="2166"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38.46%</w:t>
            </w:r>
          </w:p>
        </w:tc>
        <w:tc>
          <w:tcPr>
            <w:tcW w:w="18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61.54%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环境艺术设计</w:t>
            </w:r>
          </w:p>
        </w:tc>
        <w:tc>
          <w:tcPr>
            <w:tcW w:w="2166"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25.00%</w:t>
            </w:r>
          </w:p>
        </w:tc>
        <w:tc>
          <w:tcPr>
            <w:tcW w:w="18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75.00%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计算机网络技术</w:t>
            </w:r>
          </w:p>
        </w:tc>
        <w:tc>
          <w:tcPr>
            <w:tcW w:w="2166"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20.00%</w:t>
            </w:r>
          </w:p>
        </w:tc>
        <w:tc>
          <w:tcPr>
            <w:tcW w:w="18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80.00%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体育运营与管理</w:t>
            </w:r>
          </w:p>
        </w:tc>
        <w:tc>
          <w:tcPr>
            <w:tcW w:w="2166"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*100.00%</w:t>
            </w:r>
          </w:p>
        </w:tc>
        <w:tc>
          <w:tcPr>
            <w:tcW w:w="18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轮机工程技术</w:t>
            </w:r>
          </w:p>
        </w:tc>
        <w:tc>
          <w:tcPr>
            <w:tcW w:w="2166"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*100.00%</w:t>
            </w:r>
          </w:p>
        </w:tc>
        <w:tc>
          <w:tcPr>
            <w:tcW w:w="18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水路运输与海事管理</w:t>
            </w:r>
          </w:p>
        </w:tc>
        <w:tc>
          <w:tcPr>
            <w:tcW w:w="2166"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*100.00%</w:t>
            </w:r>
          </w:p>
        </w:tc>
        <w:tc>
          <w:tcPr>
            <w:tcW w:w="18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电气自动化技术</w:t>
            </w:r>
          </w:p>
        </w:tc>
        <w:tc>
          <w:tcPr>
            <w:tcW w:w="2166"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*87.50%</w:t>
            </w:r>
          </w:p>
        </w:tc>
        <w:tc>
          <w:tcPr>
            <w:tcW w:w="18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*12.50%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酒店管理</w:t>
            </w:r>
          </w:p>
        </w:tc>
        <w:tc>
          <w:tcPr>
            <w:tcW w:w="2166"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*75.00%</w:t>
            </w:r>
          </w:p>
        </w:tc>
        <w:tc>
          <w:tcPr>
            <w:tcW w:w="18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*25.00%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音乐表演</w:t>
            </w:r>
          </w:p>
        </w:tc>
        <w:tc>
          <w:tcPr>
            <w:tcW w:w="2166"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*75.00%</w:t>
            </w:r>
          </w:p>
        </w:tc>
        <w:tc>
          <w:tcPr>
            <w:tcW w:w="18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*25.00%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机电一体化技术</w:t>
            </w:r>
          </w:p>
        </w:tc>
        <w:tc>
          <w:tcPr>
            <w:tcW w:w="2166"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*66.67%</w:t>
            </w:r>
          </w:p>
        </w:tc>
        <w:tc>
          <w:tcPr>
            <w:tcW w:w="18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*33.33%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机械设计与制造</w:t>
            </w:r>
          </w:p>
        </w:tc>
        <w:tc>
          <w:tcPr>
            <w:tcW w:w="2166"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*66.67%</w:t>
            </w:r>
          </w:p>
        </w:tc>
        <w:tc>
          <w:tcPr>
            <w:tcW w:w="18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*33.33%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建筑设计</w:t>
            </w:r>
          </w:p>
        </w:tc>
        <w:tc>
          <w:tcPr>
            <w:tcW w:w="2166"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*57.14%</w:t>
            </w:r>
          </w:p>
        </w:tc>
        <w:tc>
          <w:tcPr>
            <w:tcW w:w="18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*42.86%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金融管理</w:t>
            </w:r>
          </w:p>
        </w:tc>
        <w:tc>
          <w:tcPr>
            <w:tcW w:w="2166"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*42.86%</w:t>
            </w:r>
          </w:p>
        </w:tc>
        <w:tc>
          <w:tcPr>
            <w:tcW w:w="18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*57.14%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大数据技术与应用</w:t>
            </w:r>
          </w:p>
        </w:tc>
        <w:tc>
          <w:tcPr>
            <w:tcW w:w="2166"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*40.00%</w:t>
            </w:r>
          </w:p>
        </w:tc>
        <w:tc>
          <w:tcPr>
            <w:tcW w:w="18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*60.00%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传播与策划</w:t>
            </w:r>
          </w:p>
        </w:tc>
        <w:tc>
          <w:tcPr>
            <w:tcW w:w="2166"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*37.50%</w:t>
            </w:r>
          </w:p>
        </w:tc>
        <w:tc>
          <w:tcPr>
            <w:tcW w:w="18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*62.50%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艺术设计</w:t>
            </w:r>
          </w:p>
        </w:tc>
        <w:tc>
          <w:tcPr>
            <w:tcW w:w="2166"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*37.50%</w:t>
            </w:r>
          </w:p>
        </w:tc>
        <w:tc>
          <w:tcPr>
            <w:tcW w:w="18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*62.50%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机械设计与制造（中高职转段）</w:t>
            </w:r>
          </w:p>
        </w:tc>
        <w:tc>
          <w:tcPr>
            <w:tcW w:w="2166"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*33.33%</w:t>
            </w:r>
          </w:p>
        </w:tc>
        <w:tc>
          <w:tcPr>
            <w:tcW w:w="18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*66.67%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国际邮轮乘务管理</w:t>
            </w:r>
          </w:p>
        </w:tc>
        <w:tc>
          <w:tcPr>
            <w:tcW w:w="2166"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*33.33%</w:t>
            </w:r>
          </w:p>
        </w:tc>
        <w:tc>
          <w:tcPr>
            <w:tcW w:w="18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*66.67%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机电一体化技术（中高职转段）</w:t>
            </w:r>
          </w:p>
        </w:tc>
        <w:tc>
          <w:tcPr>
            <w:tcW w:w="2166"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*20.00%</w:t>
            </w:r>
          </w:p>
        </w:tc>
        <w:tc>
          <w:tcPr>
            <w:tcW w:w="18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*80.00%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助产</w:t>
            </w:r>
          </w:p>
        </w:tc>
        <w:tc>
          <w:tcPr>
            <w:tcW w:w="2166"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18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建筑装饰工程技术</w:t>
            </w:r>
          </w:p>
        </w:tc>
        <w:tc>
          <w:tcPr>
            <w:tcW w:w="2166"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18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工业机器人技术</w:t>
            </w:r>
          </w:p>
        </w:tc>
        <w:tc>
          <w:tcPr>
            <w:tcW w:w="2166"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18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电子商务</w:t>
            </w:r>
          </w:p>
        </w:tc>
        <w:tc>
          <w:tcPr>
            <w:tcW w:w="2166"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18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45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智能控制技术</w:t>
            </w:r>
          </w:p>
        </w:tc>
        <w:tc>
          <w:tcPr>
            <w:tcW w:w="2166"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*0.00%</w:t>
            </w:r>
          </w:p>
        </w:tc>
        <w:tc>
          <w:tcPr>
            <w:tcW w:w="18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*100.00%</w:t>
            </w:r>
          </w:p>
        </w:tc>
      </w:tr>
    </w:tbl>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Chars="0"/>
        <w:jc w:val="both"/>
        <w:textAlignment w:val="auto"/>
        <w:rPr>
          <w:rFonts w:ascii="黑体" w:hAnsi="黑体" w:eastAsia="黑体"/>
          <w:snapToGrid/>
          <w:sz w:val="21"/>
          <w:lang w:eastAsia="zh-CN"/>
        </w:rPr>
      </w:pPr>
      <w:r>
        <w:rPr>
          <w:rFonts w:hint="eastAsia" w:ascii="黑体" w:hAnsi="黑体" w:eastAsia="黑体"/>
          <w:snapToGrid/>
          <w:sz w:val="21"/>
          <w:lang w:eastAsia="zh-CN"/>
        </w:rPr>
        <w:t>注：*</w:t>
      </w:r>
      <w:r>
        <w:rPr>
          <w:rFonts w:ascii="黑体" w:hAnsi="黑体" w:eastAsia="黑体"/>
          <w:snapToGrid/>
          <w:sz w:val="21"/>
          <w:lang w:eastAsia="zh-CN"/>
        </w:rPr>
        <w:t>专业</w:t>
      </w:r>
      <w:r>
        <w:rPr>
          <w:rFonts w:hint="eastAsia" w:ascii="黑体" w:hAnsi="黑体" w:eastAsia="黑体"/>
          <w:snapToGrid/>
          <w:sz w:val="21"/>
          <w:lang w:eastAsia="zh-CN"/>
        </w:rPr>
        <w:t>样本量较小，其分析结果仅供参考，不纳入到报告结论的分析范围。</w:t>
      </w:r>
    </w:p>
    <w:p>
      <w:pPr>
        <w:rPr>
          <w:snapToGrid/>
          <w:sz w:val="21"/>
          <w:lang w:eastAsia="zh-CN"/>
        </w:rPr>
      </w:pPr>
      <w:r>
        <w:rPr>
          <w:rFonts w:hint="eastAsia" w:ascii="仿宋" w:hAnsi="仿宋"/>
          <w:sz w:val="21"/>
          <w:lang w:eastAsia="zh-CN"/>
        </w:rPr>
        <w:t>数据来源：北京新锦成教育技术有限公司</w:t>
      </w:r>
    </w:p>
    <w:p>
      <w:pPr>
        <w:pageBreakBefore/>
        <w:pBdr>
          <w:top w:val="none" w:color="000000" w:sz="0" w:space="0"/>
          <w:left w:val="none" w:color="000000" w:sz="0" w:space="0"/>
          <w:bottom w:val="none" w:color="000000" w:sz="0" w:space="0"/>
          <w:right w:val="none" w:color="000000" w:sz="0" w:space="0"/>
          <w:between w:val="none" w:color="000000" w:sz="0" w:space="0"/>
        </w:pBdr>
        <w:spacing w:before="652" w:after="652" w:line="400" w:lineRule="exact"/>
        <w:ind w:firstLine="643"/>
        <w:jc w:val="center"/>
        <w:outlineLvl w:val="1"/>
        <w:rPr>
          <w:rFonts w:eastAsia="黑体"/>
          <w:b/>
          <w:bCs/>
          <w:szCs w:val="32"/>
          <w:lang w:eastAsia="zh-CN"/>
        </w:rPr>
      </w:pPr>
      <w:bookmarkStart w:id="200" w:name="_Toc148372477"/>
      <w:bookmarkStart w:id="201" w:name="_Toc130307146"/>
      <w:bookmarkStart w:id="202" w:name="_Toc151887766"/>
      <w:r>
        <w:rPr>
          <w:rFonts w:hint="eastAsia" w:eastAsia="黑体"/>
          <w:b/>
          <w:bCs/>
          <w:szCs w:val="32"/>
          <w:lang w:eastAsia="zh-CN"/>
        </w:rPr>
        <w:t xml:space="preserve">第二章 </w:t>
      </w:r>
      <w:r>
        <w:rPr>
          <w:rFonts w:eastAsia="黑体"/>
          <w:b/>
          <w:bCs/>
          <w:szCs w:val="32"/>
          <w:lang w:eastAsia="zh-CN"/>
        </w:rPr>
        <w:t xml:space="preserve"> </w:t>
      </w:r>
      <w:r>
        <w:rPr>
          <w:rFonts w:hint="eastAsia" w:eastAsia="黑体"/>
          <w:b/>
          <w:bCs/>
          <w:szCs w:val="32"/>
          <w:lang w:eastAsia="zh-CN"/>
        </w:rPr>
        <w:t>就业</w:t>
      </w:r>
      <w:r>
        <w:rPr>
          <w:rFonts w:eastAsia="黑体"/>
          <w:b/>
          <w:bCs/>
          <w:szCs w:val="32"/>
          <w:lang w:eastAsia="zh-CN"/>
        </w:rPr>
        <w:t>特色</w:t>
      </w:r>
      <w:bookmarkEnd w:id="200"/>
      <w:bookmarkEnd w:id="201"/>
      <w:bookmarkEnd w:id="202"/>
    </w:p>
    <w:p>
      <w:pPr>
        <w:ind w:firstLine="640"/>
        <w:rPr>
          <w:lang w:val="zh-CN" w:eastAsia="zh-CN"/>
        </w:rPr>
      </w:pPr>
      <w:r>
        <w:rPr>
          <w:lang w:val="zh-CN" w:eastAsia="zh-CN"/>
        </w:rPr>
        <w:t>针对毕业去向为</w:t>
      </w:r>
      <w:r>
        <w:rPr>
          <w:rFonts w:hint="eastAsia"/>
          <w:lang w:val="zh-CN" w:eastAsia="zh-CN"/>
        </w:rPr>
        <w:t>“</w:t>
      </w:r>
      <w:r>
        <w:rPr>
          <w:lang w:val="zh-CN" w:eastAsia="zh-CN"/>
        </w:rPr>
        <w:t>国内工作</w:t>
      </w:r>
      <w:r>
        <w:rPr>
          <w:rFonts w:hint="eastAsia"/>
          <w:lang w:val="zh-CN" w:eastAsia="zh-CN"/>
        </w:rPr>
        <w:t>”</w:t>
      </w:r>
      <w:r>
        <w:rPr>
          <w:lang w:val="zh-CN" w:eastAsia="zh-CN"/>
        </w:rPr>
        <w:t>的</w:t>
      </w:r>
      <w:r>
        <w:rPr>
          <w:rFonts w:hint="eastAsia"/>
          <w:lang w:val="zh-CN" w:eastAsia="zh-CN"/>
        </w:rPr>
        <w:t>毕业生</w:t>
      </w:r>
      <w:r>
        <w:rPr>
          <w:lang w:val="zh-CN" w:eastAsia="zh-CN"/>
        </w:rPr>
        <w:t>进一步调查分析其就业</w:t>
      </w:r>
      <w:r>
        <w:rPr>
          <w:rFonts w:hint="eastAsia"/>
          <w:lang w:val="zh-CN" w:eastAsia="zh-CN"/>
        </w:rPr>
        <w:t>地区</w:t>
      </w:r>
      <w:r>
        <w:rPr>
          <w:lang w:val="zh-CN" w:eastAsia="zh-CN"/>
        </w:rPr>
        <w:t>、就业行业、就业职业和就业单位分布；具体内容如下所示。</w:t>
      </w:r>
    </w:p>
    <w:p>
      <w:pPr>
        <w:pStyle w:val="2"/>
        <w:ind w:firstLine="640"/>
        <w:rPr>
          <w:lang w:eastAsia="zh-CN"/>
        </w:rPr>
      </w:pPr>
      <w:bookmarkStart w:id="203" w:name="_Toc148372478"/>
      <w:bookmarkStart w:id="204" w:name="_Toc151887767"/>
      <w:bookmarkStart w:id="205" w:name="_Toc130307147"/>
      <w:r>
        <w:rPr>
          <w:rFonts w:hint="eastAsia"/>
          <w:lang w:eastAsia="zh-CN"/>
        </w:rPr>
        <w:t>一</w:t>
      </w:r>
      <w:r>
        <w:rPr>
          <w:lang w:eastAsia="zh-CN"/>
        </w:rPr>
        <w:t>、就业</w:t>
      </w:r>
      <w:r>
        <w:rPr>
          <w:rFonts w:hint="eastAsia"/>
          <w:lang w:eastAsia="zh-CN"/>
        </w:rPr>
        <w:t>地区</w:t>
      </w:r>
      <w:r>
        <w:rPr>
          <w:lang w:eastAsia="zh-CN"/>
        </w:rPr>
        <w:t>特色</w:t>
      </w:r>
      <w:bookmarkEnd w:id="203"/>
      <w:bookmarkEnd w:id="204"/>
      <w:bookmarkEnd w:id="205"/>
    </w:p>
    <w:p>
      <w:pPr>
        <w:ind w:firstLine="640"/>
        <w:rPr>
          <w:lang w:val="zh-CN" w:eastAsia="zh-CN"/>
        </w:rPr>
      </w:pPr>
      <w:r>
        <w:rPr>
          <w:rFonts w:hint="eastAsia"/>
          <w:lang w:val="zh-CN" w:eastAsia="zh-CN"/>
        </w:rPr>
        <w:t>就业</w:t>
      </w:r>
      <w:r>
        <w:rPr>
          <w:lang w:val="zh-CN" w:eastAsia="zh-CN"/>
        </w:rPr>
        <w:t>省</w:t>
      </w:r>
      <w:r>
        <w:rPr>
          <w:rFonts w:hint="eastAsia"/>
          <w:lang w:val="zh-CN" w:eastAsia="zh-CN"/>
        </w:rPr>
        <w:t>份</w:t>
      </w:r>
      <w:r>
        <w:rPr>
          <w:lang w:eastAsia="zh-CN"/>
        </w:rPr>
        <w:t>：</w:t>
      </w:r>
      <w:r>
        <w:rPr>
          <w:rFonts w:hint="eastAsia"/>
          <w:lang w:eastAsia="zh-CN"/>
        </w:rPr>
        <w:t>2022届毕业生</w:t>
      </w:r>
      <w:r>
        <w:rPr>
          <w:rFonts w:hint="eastAsia"/>
          <w:lang w:val="zh-CN" w:eastAsia="zh-CN"/>
        </w:rPr>
        <w:t>中</w:t>
      </w:r>
      <w:r>
        <w:rPr>
          <w:rFonts w:hint="eastAsia"/>
          <w:lang w:eastAsia="zh-CN"/>
        </w:rPr>
        <w:t>，</w:t>
      </w:r>
      <w:r>
        <w:rPr>
          <w:rFonts w:hint="eastAsia"/>
          <w:lang w:val="zh-CN" w:eastAsia="zh-CN"/>
        </w:rPr>
        <w:t>省内就业毕业生占比</w:t>
      </w:r>
      <w:r>
        <w:rPr>
          <w:rFonts w:hint="eastAsia"/>
          <w:lang w:eastAsia="zh-CN"/>
        </w:rPr>
        <w:t>63.36%，36.64%</w:t>
      </w:r>
      <w:r>
        <w:rPr>
          <w:rFonts w:hint="eastAsia"/>
          <w:lang w:val="zh-CN" w:eastAsia="zh-CN"/>
        </w:rPr>
        <w:t>的毕业生在省外就业</w:t>
      </w:r>
      <w:r>
        <w:rPr>
          <w:rFonts w:hint="eastAsia"/>
          <w:lang w:eastAsia="zh-CN"/>
        </w:rPr>
        <w:t>；</w:t>
      </w:r>
      <w:r>
        <w:rPr>
          <w:rFonts w:hint="eastAsia"/>
          <w:lang w:val="zh-CN" w:eastAsia="zh-CN"/>
        </w:rPr>
        <w:t>其中省外就业的毕业生主要流向了</w:t>
      </w:r>
      <w:r>
        <w:rPr>
          <w:rFonts w:hint="eastAsia"/>
          <w:lang w:eastAsia="zh-CN"/>
        </w:rPr>
        <w:t>“广东省”（7.56%）、“福建省”（2.87%）、“贵州省”（2.74%）</w:t>
      </w:r>
      <w:r>
        <w:rPr>
          <w:rFonts w:hint="eastAsia"/>
          <w:lang w:val="zh-CN" w:eastAsia="zh-CN"/>
        </w:rPr>
        <w:t>等地区。</w:t>
      </w:r>
    </w:p>
    <w:p>
      <w:pPr>
        <w:pBdr>
          <w:top w:val="none" w:color="000000" w:sz="0" w:space="0"/>
          <w:left w:val="none" w:color="000000" w:sz="0" w:space="0"/>
          <w:bottom w:val="none" w:color="000000" w:sz="0" w:space="0"/>
          <w:right w:val="none" w:color="000000" w:sz="0" w:space="0"/>
          <w:between w:val="none" w:color="000000" w:sz="0" w:space="0"/>
        </w:pBdr>
        <w:spacing w:line="360" w:lineRule="auto"/>
        <w:ind w:firstLine="480"/>
        <w:jc w:val="center"/>
        <w:rPr>
          <w:rFonts w:eastAsia="Calibri" w:cs="宋体"/>
          <w:sz w:val="24"/>
          <w:lang w:eastAsia="zh-CN"/>
        </w:rPr>
      </w:pPr>
      <w:r>
        <w:rPr>
          <w:rFonts w:eastAsia="Calibri" w:cs="宋体"/>
          <w:sz w:val="24"/>
          <w:lang w:eastAsia="zh-CN"/>
        </w:rPr>
        <w:drawing>
          <wp:inline distT="0" distB="0" distL="0" distR="0">
            <wp:extent cx="3977640" cy="2085975"/>
            <wp:effectExtent l="0" t="0" r="3810" b="9525"/>
            <wp:docPr id="537" name="图表 95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206" w:name="_Toc129867535"/>
      <w:r>
        <w:rPr>
          <w:rFonts w:hint="eastAsia" w:eastAsia="黑体"/>
          <w:b/>
          <w:sz w:val="21"/>
          <w:lang w:eastAsia="zh-CN"/>
        </w:rPr>
        <w:t>图4.22  2022届毕业生省内外就业</w:t>
      </w:r>
      <w:r>
        <w:rPr>
          <w:rFonts w:eastAsia="黑体"/>
          <w:b/>
          <w:sz w:val="21"/>
          <w:lang w:eastAsia="zh-CN"/>
        </w:rPr>
        <w:t>分布</w:t>
      </w:r>
      <w:bookmarkEnd w:id="206"/>
    </w:p>
    <w:p>
      <w:pPr>
        <w:rPr>
          <w:snapToGrid/>
          <w:sz w:val="21"/>
          <w:lang w:eastAsia="zh-CN"/>
        </w:rPr>
      </w:pPr>
      <w:r>
        <w:rPr>
          <w:rFonts w:hint="eastAsia" w:ascii="仿宋" w:hAnsi="仿宋"/>
          <w:sz w:val="21"/>
          <w:lang w:eastAsia="zh-CN"/>
        </w:rPr>
        <w:t>数据来源：北京新锦成教育技术有限公司</w:t>
      </w:r>
    </w:p>
    <w:p>
      <w:pPr>
        <w:pBdr>
          <w:top w:val="none" w:color="000000" w:sz="0" w:space="0"/>
          <w:left w:val="none" w:color="000000" w:sz="0" w:space="0"/>
          <w:bottom w:val="none" w:color="000000" w:sz="0" w:space="0"/>
          <w:right w:val="none" w:color="000000" w:sz="0" w:space="0"/>
          <w:between w:val="none" w:color="000000" w:sz="0" w:space="0"/>
        </w:pBdr>
        <w:spacing w:before="163" w:after="163" w:line="360" w:lineRule="auto"/>
        <w:ind w:firstLine="480"/>
        <w:jc w:val="center"/>
        <w:rPr>
          <w:rFonts w:eastAsia="宋体"/>
          <w:sz w:val="24"/>
          <w:szCs w:val="24"/>
          <w:lang w:val="zh-CN" w:eastAsia="zh-CN"/>
        </w:rPr>
      </w:pPr>
      <w:r>
        <w:rPr>
          <w:rFonts w:eastAsia="宋体"/>
          <w:sz w:val="24"/>
          <w:szCs w:val="24"/>
          <w:lang w:eastAsia="zh-CN"/>
        </w:rPr>
        <w:drawing>
          <wp:inline distT="0" distB="0" distL="0" distR="0">
            <wp:extent cx="3952875" cy="2333625"/>
            <wp:effectExtent l="0" t="0" r="0" b="0"/>
            <wp:docPr id="538"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207" w:name="_Toc129867537"/>
      <w:r>
        <w:rPr>
          <w:rFonts w:hint="eastAsia" w:eastAsia="黑体"/>
          <w:b/>
          <w:sz w:val="21"/>
          <w:lang w:eastAsia="zh-CN"/>
        </w:rPr>
        <w:t>图4.2</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图2-1-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3</w:t>
      </w:r>
      <w:r>
        <w:rPr>
          <w:rFonts w:eastAsia="黑体"/>
          <w:b/>
          <w:sz w:val="21"/>
          <w:lang w:eastAsia="zh-CN"/>
        </w:rPr>
        <w:fldChar w:fldCharType="end"/>
      </w:r>
      <w:r>
        <w:rPr>
          <w:rFonts w:hint="eastAsia" w:eastAsia="黑体"/>
          <w:b/>
          <w:sz w:val="21"/>
          <w:lang w:eastAsia="zh-CN"/>
        </w:rPr>
        <w:t xml:space="preserve">  2022届毕业生主要就业地区</w:t>
      </w:r>
      <w:r>
        <w:rPr>
          <w:rFonts w:eastAsia="黑体"/>
          <w:b/>
          <w:sz w:val="21"/>
          <w:lang w:eastAsia="zh-CN"/>
        </w:rPr>
        <w:t>分布</w:t>
      </w:r>
      <w:bookmarkEnd w:id="207"/>
      <w:r>
        <w:rPr>
          <w:rFonts w:hint="eastAsia" w:eastAsia="黑体"/>
          <w:b/>
          <w:sz w:val="21"/>
          <w:lang w:eastAsia="zh-CN"/>
        </w:rPr>
        <w:t xml:space="preserve"> </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Chars="0"/>
        <w:jc w:val="both"/>
        <w:textAlignment w:val="auto"/>
        <w:rPr>
          <w:rFonts w:ascii="黑体" w:hAnsi="黑体" w:eastAsia="黑体"/>
          <w:snapToGrid/>
          <w:sz w:val="21"/>
          <w:szCs w:val="24"/>
          <w:lang w:eastAsia="zh-CN"/>
        </w:rPr>
      </w:pPr>
      <w:r>
        <w:rPr>
          <w:rFonts w:hint="eastAsia" w:ascii="黑体" w:hAnsi="黑体" w:eastAsia="黑体"/>
          <w:snapToGrid/>
          <w:sz w:val="21"/>
          <w:szCs w:val="24"/>
          <w:lang w:eastAsia="zh-CN"/>
        </w:rPr>
        <w:t>注：</w:t>
      </w:r>
      <w:r>
        <w:rPr>
          <w:rFonts w:ascii="黑体" w:hAnsi="黑体" w:eastAsia="黑体"/>
          <w:snapToGrid/>
          <w:sz w:val="21"/>
          <w:szCs w:val="24"/>
          <w:lang w:eastAsia="zh-CN"/>
        </w:rPr>
        <w:t>主要就业</w:t>
      </w:r>
      <w:r>
        <w:rPr>
          <w:rFonts w:hint="eastAsia" w:ascii="黑体" w:hAnsi="黑体" w:eastAsia="黑体"/>
          <w:snapToGrid/>
          <w:sz w:val="21"/>
          <w:szCs w:val="24"/>
          <w:lang w:eastAsia="zh-CN"/>
        </w:rPr>
        <w:t>地区</w:t>
      </w:r>
      <w:r>
        <w:rPr>
          <w:rFonts w:ascii="黑体" w:hAnsi="黑体" w:eastAsia="黑体"/>
          <w:snapToGrid/>
          <w:sz w:val="21"/>
          <w:szCs w:val="24"/>
          <w:lang w:eastAsia="zh-CN"/>
        </w:rPr>
        <w:t>指</w:t>
      </w:r>
      <w:r>
        <w:rPr>
          <w:rFonts w:hint="eastAsia" w:ascii="黑体" w:hAnsi="黑体" w:eastAsia="黑体"/>
          <w:snapToGrid/>
          <w:sz w:val="21"/>
          <w:szCs w:val="24"/>
          <w:lang w:eastAsia="zh-CN"/>
        </w:rPr>
        <w:t>就业</w:t>
      </w:r>
      <w:r>
        <w:rPr>
          <w:rFonts w:ascii="黑体" w:hAnsi="黑体" w:eastAsia="黑体"/>
          <w:snapToGrid/>
          <w:sz w:val="21"/>
          <w:szCs w:val="24"/>
          <w:lang w:eastAsia="zh-CN"/>
        </w:rPr>
        <w:t>人数≥</w:t>
      </w:r>
      <w:r>
        <w:rPr>
          <w:rFonts w:eastAsia="黑体"/>
          <w:snapToGrid/>
          <w:sz w:val="21"/>
          <w:szCs w:val="24"/>
          <w:lang w:eastAsia="zh-CN"/>
        </w:rPr>
        <w:t>20</w:t>
      </w:r>
      <w:r>
        <w:rPr>
          <w:rFonts w:ascii="黑体" w:hAnsi="黑体" w:eastAsia="黑体"/>
          <w:snapToGrid/>
          <w:sz w:val="21"/>
          <w:szCs w:val="24"/>
          <w:lang w:eastAsia="zh-CN"/>
        </w:rPr>
        <w:t>人</w:t>
      </w:r>
      <w:r>
        <w:rPr>
          <w:rFonts w:hint="eastAsia" w:ascii="黑体" w:hAnsi="黑体" w:eastAsia="黑体"/>
          <w:snapToGrid/>
          <w:sz w:val="21"/>
          <w:szCs w:val="24"/>
          <w:lang w:eastAsia="zh-CN"/>
        </w:rPr>
        <w:t>的</w:t>
      </w:r>
      <w:r>
        <w:rPr>
          <w:rFonts w:ascii="黑体" w:hAnsi="黑体" w:eastAsia="黑体"/>
          <w:snapToGrid/>
          <w:sz w:val="21"/>
          <w:szCs w:val="24"/>
          <w:lang w:eastAsia="zh-CN"/>
        </w:rPr>
        <w:t>地区。</w:t>
      </w:r>
    </w:p>
    <w:p>
      <w:pPr>
        <w:rPr>
          <w:snapToGrid/>
          <w:sz w:val="21"/>
          <w:lang w:eastAsia="zh-CN"/>
        </w:rPr>
      </w:pPr>
      <w:r>
        <w:rPr>
          <w:rFonts w:hint="eastAsia" w:ascii="仿宋" w:hAnsi="仿宋"/>
          <w:sz w:val="21"/>
          <w:lang w:eastAsia="zh-CN"/>
        </w:rPr>
        <w:t>数据来源：北京新锦成教育技术有限公司</w:t>
      </w:r>
    </w:p>
    <w:p>
      <w:pPr>
        <w:ind w:firstLine="640"/>
        <w:rPr>
          <w:lang w:val="zh-CN" w:eastAsia="zh-CN"/>
        </w:rPr>
      </w:pPr>
      <w:r>
        <w:rPr>
          <w:rFonts w:hint="eastAsia"/>
          <w:lang w:val="zh-CN" w:eastAsia="zh-CN"/>
        </w:rPr>
        <w:t>省内</w:t>
      </w:r>
      <w:r>
        <w:rPr>
          <w:lang w:val="zh-CN" w:eastAsia="zh-CN"/>
        </w:rPr>
        <w:t>就业</w:t>
      </w:r>
      <w:r>
        <w:rPr>
          <w:rFonts w:hint="eastAsia"/>
          <w:lang w:val="zh-CN" w:eastAsia="zh-CN"/>
        </w:rPr>
        <w:t>城市</w:t>
      </w:r>
      <w:r>
        <w:rPr>
          <w:rFonts w:hint="eastAsia"/>
          <w:lang w:eastAsia="zh-CN"/>
        </w:rPr>
        <w:t>：</w:t>
      </w:r>
      <w:r>
        <w:rPr>
          <w:rFonts w:hint="eastAsia"/>
          <w:lang w:val="zh-CN" w:eastAsia="zh-CN"/>
        </w:rPr>
        <w:t>在选择省内就业的毕业生中</w:t>
      </w:r>
      <w:r>
        <w:rPr>
          <w:rFonts w:hint="eastAsia"/>
          <w:lang w:eastAsia="zh-CN"/>
        </w:rPr>
        <w:t>，</w:t>
      </w:r>
      <w:r>
        <w:rPr>
          <w:rFonts w:hint="eastAsia"/>
          <w:lang w:val="zh-CN" w:eastAsia="zh-CN"/>
        </w:rPr>
        <w:t>就业城市以</w:t>
      </w:r>
      <w:r>
        <w:rPr>
          <w:rFonts w:hint="eastAsia"/>
          <w:lang w:eastAsia="zh-CN"/>
        </w:rPr>
        <w:t>“海口市”（46.50%）</w:t>
      </w:r>
      <w:r>
        <w:rPr>
          <w:rFonts w:hint="eastAsia"/>
          <w:lang w:val="zh-CN" w:eastAsia="zh-CN"/>
        </w:rPr>
        <w:t>为主</w:t>
      </w:r>
      <w:r>
        <w:rPr>
          <w:rFonts w:hint="eastAsia"/>
          <w:lang w:eastAsia="zh-CN"/>
        </w:rPr>
        <w:t>，“三亚市”（18.72%）</w:t>
      </w:r>
      <w:r>
        <w:rPr>
          <w:rFonts w:hint="eastAsia"/>
          <w:lang w:val="zh-CN" w:eastAsia="zh-CN"/>
        </w:rPr>
        <w:t>、</w:t>
      </w:r>
      <w:r>
        <w:rPr>
          <w:rFonts w:hint="eastAsia"/>
          <w:lang w:eastAsia="zh-CN"/>
        </w:rPr>
        <w:t>“儋州市”（5.56%）</w:t>
      </w:r>
      <w:r>
        <w:rPr>
          <w:rFonts w:hint="eastAsia"/>
          <w:lang w:val="zh-CN" w:eastAsia="zh-CN"/>
        </w:rPr>
        <w:t>次之。</w:t>
      </w:r>
    </w:p>
    <w:p>
      <w:pPr>
        <w:pBdr>
          <w:top w:val="none" w:color="000000" w:sz="0" w:space="0"/>
          <w:left w:val="none" w:color="000000" w:sz="0" w:space="0"/>
          <w:bottom w:val="none" w:color="000000" w:sz="0" w:space="0"/>
          <w:right w:val="none" w:color="000000" w:sz="0" w:space="0"/>
          <w:between w:val="none" w:color="000000" w:sz="0" w:space="0"/>
        </w:pBdr>
        <w:spacing w:before="163" w:after="120" w:line="360" w:lineRule="auto"/>
        <w:ind w:firstLine="480"/>
        <w:jc w:val="center"/>
        <w:rPr>
          <w:rFonts w:eastAsia="Calibri"/>
          <w:color w:val="auto"/>
          <w:sz w:val="21"/>
          <w:lang w:eastAsia="zh-CN"/>
        </w:rPr>
      </w:pPr>
      <w:r>
        <w:rPr>
          <w:rFonts w:ascii="Calibri" w:hAnsi="Calibri" w:eastAsia="Calibri" w:cs="宋体"/>
          <w:sz w:val="24"/>
          <w:lang w:eastAsia="zh-CN"/>
        </w:rPr>
        <w:drawing>
          <wp:inline distT="0" distB="0" distL="0" distR="0">
            <wp:extent cx="4944745" cy="3101340"/>
            <wp:effectExtent l="0" t="0" r="8255" b="3810"/>
            <wp:docPr id="539"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208" w:name="_Toc129867538"/>
      <w:r>
        <w:rPr>
          <w:rFonts w:hint="eastAsia" w:eastAsia="黑体"/>
          <w:b/>
          <w:sz w:val="21"/>
          <w:lang w:eastAsia="zh-CN"/>
        </w:rPr>
        <w:t>图4.24  2022届毕业生省内就业</w:t>
      </w:r>
      <w:r>
        <w:rPr>
          <w:rFonts w:eastAsia="黑体"/>
          <w:b/>
          <w:sz w:val="21"/>
          <w:lang w:eastAsia="zh-CN"/>
        </w:rPr>
        <w:t>城市分布</w:t>
      </w:r>
      <w:bookmarkEnd w:id="208"/>
      <w:r>
        <w:rPr>
          <w:rFonts w:hint="eastAsia" w:eastAsia="黑体"/>
          <w:b/>
          <w:sz w:val="21"/>
          <w:lang w:eastAsia="zh-CN"/>
        </w:rPr>
        <w:t xml:space="preserve"> </w:t>
      </w:r>
    </w:p>
    <w:p>
      <w:pPr>
        <w:rPr>
          <w:snapToGrid/>
          <w:sz w:val="21"/>
          <w:lang w:eastAsia="zh-CN"/>
        </w:rPr>
      </w:pPr>
      <w:r>
        <w:rPr>
          <w:rFonts w:hint="eastAsia" w:ascii="仿宋" w:hAnsi="仿宋"/>
          <w:sz w:val="21"/>
          <w:lang w:eastAsia="zh-CN"/>
        </w:rPr>
        <w:t>数据来源：北京新锦成教育技术有限公司</w:t>
      </w:r>
    </w:p>
    <w:p>
      <w:pPr>
        <w:pStyle w:val="3"/>
        <w:ind w:firstLine="643"/>
        <w:rPr>
          <w:lang w:eastAsia="zh-CN"/>
        </w:rPr>
      </w:pPr>
      <w:bookmarkStart w:id="209" w:name="_Toc151887768"/>
      <w:bookmarkStart w:id="210" w:name="_Toc148372479"/>
      <w:bookmarkStart w:id="211" w:name="_Toc130307148"/>
      <w:r>
        <w:rPr>
          <w:rFonts w:hint="eastAsia"/>
          <w:lang w:eastAsia="zh-CN"/>
        </w:rPr>
        <w:t>（一）</w:t>
      </w:r>
      <w:r>
        <w:rPr>
          <w:lang w:eastAsia="zh-CN"/>
        </w:rPr>
        <w:t>各</w:t>
      </w:r>
      <w:r>
        <w:rPr>
          <w:rFonts w:hint="eastAsia"/>
          <w:lang w:eastAsia="zh-CN"/>
        </w:rPr>
        <w:t>学院就业地区分布</w:t>
      </w:r>
      <w:bookmarkEnd w:id="209"/>
      <w:bookmarkEnd w:id="210"/>
      <w:bookmarkEnd w:id="211"/>
    </w:p>
    <w:p>
      <w:pPr>
        <w:ind w:firstLine="640"/>
        <w:rPr>
          <w:lang w:val="zh-CN" w:eastAsia="zh-CN"/>
        </w:rPr>
      </w:pPr>
      <w:r>
        <w:rPr>
          <w:rFonts w:hint="eastAsia"/>
          <w:lang w:val="zh-CN" w:eastAsia="zh-CN"/>
        </w:rPr>
        <w:t>各学院主要就业地区分布</w:t>
      </w:r>
      <w:r>
        <w:rPr>
          <w:lang w:val="zh-CN" w:eastAsia="zh-CN"/>
        </w:rPr>
        <w:t>：</w:t>
      </w:r>
      <w:r>
        <w:rPr>
          <w:rFonts w:hint="eastAsia"/>
          <w:lang w:val="zh-CN" w:eastAsia="zh-CN"/>
        </w:rPr>
        <w:t>省内</w:t>
      </w:r>
      <w:r>
        <w:rPr>
          <w:lang w:val="zh-CN" w:eastAsia="zh-CN"/>
        </w:rPr>
        <w:t>就业为</w:t>
      </w:r>
      <w:r>
        <w:rPr>
          <w:rFonts w:hint="eastAsia"/>
          <w:lang w:val="zh-CN" w:eastAsia="zh-CN"/>
        </w:rPr>
        <w:t>各学院毕业生主要地区流向，省内</w:t>
      </w:r>
      <w:r>
        <w:rPr>
          <w:lang w:val="zh-CN" w:eastAsia="zh-CN"/>
        </w:rPr>
        <w:t>主要就业城市分布详见下表。</w:t>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212" w:name="_Toc129867539"/>
      <w:r>
        <w:rPr>
          <w:rFonts w:hint="eastAsia" w:eastAsia="黑体"/>
          <w:b/>
          <w:sz w:val="21"/>
          <w:lang w:eastAsia="zh-CN"/>
        </w:rPr>
        <w:t>表4.</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表2-2-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15</w:t>
      </w:r>
      <w:r>
        <w:rPr>
          <w:rFonts w:eastAsia="黑体"/>
          <w:b/>
          <w:sz w:val="21"/>
          <w:lang w:eastAsia="zh-CN"/>
        </w:rPr>
        <w:fldChar w:fldCharType="end"/>
      </w:r>
      <w:r>
        <w:rPr>
          <w:rFonts w:eastAsia="黑体"/>
          <w:b/>
          <w:sz w:val="21"/>
          <w:lang w:eastAsia="zh-CN"/>
        </w:rPr>
        <w:t xml:space="preserve">  2022届</w:t>
      </w:r>
      <w:r>
        <w:rPr>
          <w:rFonts w:hint="eastAsia" w:eastAsia="黑体"/>
          <w:b/>
          <w:sz w:val="21"/>
          <w:lang w:eastAsia="zh-CN"/>
        </w:rPr>
        <w:t>各学院毕业生就业地区分布</w:t>
      </w:r>
      <w:bookmarkEnd w:id="212"/>
    </w:p>
    <w:tbl>
      <w:tblPr>
        <w:tblStyle w:val="35"/>
        <w:tblW w:w="5165" w:type="pct"/>
        <w:jc w:val="cente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fixed"/>
        <w:tblCellMar>
          <w:top w:w="0" w:type="dxa"/>
          <w:left w:w="108" w:type="dxa"/>
          <w:bottom w:w="0" w:type="dxa"/>
          <w:right w:w="108" w:type="dxa"/>
        </w:tblCellMar>
      </w:tblPr>
      <w:tblGrid>
        <w:gridCol w:w="2052"/>
        <w:gridCol w:w="3895"/>
        <w:gridCol w:w="4344"/>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jc w:val="center"/>
        </w:trPr>
        <w:tc>
          <w:tcPr>
            <w:tcW w:w="2052" w:type="dxa"/>
            <w:tcBorders>
              <w:top w:val="single" w:color="0F6FC6" w:sz="4" w:space="0"/>
              <w:left w:val="single" w:color="0F6FC6" w:sz="4" w:space="0"/>
              <w:bottom w:val="single" w:color="0F6FC6" w:sz="4" w:space="0"/>
              <w:right w:val="nil"/>
              <w:insideH w:val="single"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after="100" w:afterAutospacing="1" w:line="240" w:lineRule="auto"/>
              <w:ind w:firstLine="0" w:firstLineChars="0"/>
              <w:jc w:val="center"/>
              <w:textAlignment w:val="auto"/>
              <w:rPr>
                <w:rFonts w:ascii="宋体" w:hAnsi="宋体" w:eastAsia="宋体"/>
                <w:b w:val="0"/>
                <w:bCs w:val="0"/>
                <w:snapToGrid/>
                <w:color w:val="FFFFFF"/>
                <w:sz w:val="21"/>
                <w:lang w:eastAsia="zh-CN"/>
              </w:rPr>
            </w:pPr>
            <w:r>
              <w:rPr>
                <w:rFonts w:hint="eastAsia" w:ascii="宋体" w:hAnsi="宋体" w:eastAsia="宋体" w:cs="微软雅黑"/>
                <w:b/>
                <w:bCs/>
                <w:snapToGrid/>
                <w:color w:val="FFFFFF"/>
                <w:sz w:val="21"/>
                <w:lang w:eastAsia="zh-CN"/>
              </w:rPr>
              <w:t>学院</w:t>
            </w:r>
          </w:p>
        </w:tc>
        <w:tc>
          <w:tcPr>
            <w:tcW w:w="3895" w:type="dxa"/>
            <w:tcBorders>
              <w:top w:val="single" w:color="0F6FC6" w:sz="4" w:space="0"/>
              <w:bottom w:val="single" w:color="0F6FC6" w:sz="4" w:space="0"/>
              <w:right w:val="nil"/>
              <w:insideH w:val="single"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after="100" w:afterAutospacing="1" w:line="240" w:lineRule="auto"/>
              <w:ind w:firstLine="0" w:firstLineChars="0"/>
              <w:jc w:val="center"/>
              <w:textAlignment w:val="auto"/>
              <w:rPr>
                <w:rFonts w:ascii="宋体" w:hAnsi="宋体" w:eastAsia="宋体"/>
                <w:b w:val="0"/>
                <w:bCs w:val="0"/>
                <w:snapToGrid/>
                <w:color w:val="FFFFFF"/>
                <w:sz w:val="21"/>
                <w:lang w:eastAsia="zh-CN"/>
              </w:rPr>
            </w:pPr>
            <w:r>
              <w:rPr>
                <w:rFonts w:hint="eastAsia" w:ascii="宋体" w:hAnsi="宋体" w:eastAsia="宋体" w:cs="微软雅黑"/>
                <w:b/>
                <w:bCs/>
                <w:snapToGrid/>
                <w:color w:val="FFFFFF"/>
                <w:sz w:val="21"/>
                <w:lang w:eastAsia="zh-CN"/>
              </w:rPr>
              <w:t>就业人数占比排名前五的地区分布</w:t>
            </w:r>
          </w:p>
        </w:tc>
        <w:tc>
          <w:tcPr>
            <w:tcW w:w="4344" w:type="dxa"/>
            <w:tcBorders>
              <w:top w:val="single" w:color="0F6FC6" w:sz="4" w:space="0"/>
              <w:bottom w:val="single" w:color="0F6FC6" w:sz="4" w:space="0"/>
              <w:right w:val="single" w:color="0F6FC6" w:sz="4" w:space="0"/>
              <w:insideH w:val="single"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after="100" w:afterAutospacing="1" w:line="240" w:lineRule="auto"/>
              <w:ind w:firstLine="0" w:firstLineChars="0"/>
              <w:jc w:val="center"/>
              <w:textAlignment w:val="auto"/>
              <w:rPr>
                <w:rFonts w:ascii="宋体" w:hAnsi="宋体" w:eastAsia="宋体"/>
                <w:b w:val="0"/>
                <w:bCs w:val="0"/>
                <w:snapToGrid/>
                <w:color w:val="FFFFFF"/>
                <w:sz w:val="21"/>
                <w:lang w:eastAsia="zh-CN"/>
              </w:rPr>
            </w:pPr>
            <w:r>
              <w:rPr>
                <w:rFonts w:hint="eastAsia" w:ascii="宋体" w:hAnsi="宋体" w:eastAsia="宋体" w:cs="微软雅黑"/>
                <w:b/>
                <w:bCs/>
                <w:snapToGrid/>
                <w:color w:val="FFFFFF"/>
                <w:sz w:val="21"/>
                <w:lang w:eastAsia="zh-CN"/>
              </w:rPr>
              <w:t>省内就业人数占比排名前五的城市分布</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05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健康科学学院</w:t>
            </w:r>
          </w:p>
        </w:tc>
        <w:tc>
          <w:tcPr>
            <w:tcW w:w="38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海南省（93.94%）、广西壮族自治区（3.03%）、贵州省（3.03%）</w:t>
            </w:r>
          </w:p>
        </w:tc>
        <w:tc>
          <w:tcPr>
            <w:tcW w:w="4344"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海口市（70.97%）、三亚市（12.90%）、澄迈县（6.45%）、万宁市（3.23%）、临高县（3.23%）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05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国际护理学院</w:t>
            </w:r>
          </w:p>
        </w:tc>
        <w:tc>
          <w:tcPr>
            <w:tcW w:w="38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海南省（85.98%）、广东省（4.27%）、广西壮族自治区（2.44%）、浙江省（2.44%）、贵州省（1.22%）</w:t>
            </w:r>
          </w:p>
        </w:tc>
        <w:tc>
          <w:tcPr>
            <w:tcW w:w="4344"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海口市（37.59%）、三亚市（19.15%）、琼海市（9.93%）、儋州市（8.51%）、东方市（4.26%）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05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城建学院</w:t>
            </w:r>
          </w:p>
        </w:tc>
        <w:tc>
          <w:tcPr>
            <w:tcW w:w="38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海南省（84.72%）、广东省（5.56%）、广西壮族自治区（2.78%）、福建省（2.78%）、贵州省（1.39%）</w:t>
            </w:r>
          </w:p>
        </w:tc>
        <w:tc>
          <w:tcPr>
            <w:tcW w:w="4344"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海口市（49.18%）、三亚市（18.03%）、万宁市（6.56%）、儋州市（4.92%）、文昌市（4.92%）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05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财经学院</w:t>
            </w:r>
          </w:p>
        </w:tc>
        <w:tc>
          <w:tcPr>
            <w:tcW w:w="38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海南省（75.97%）、广东省（9.30%）、贵州省（3.88%）、上海市（3.10%）、广西壮族自治区（2.33%）</w:t>
            </w:r>
          </w:p>
        </w:tc>
        <w:tc>
          <w:tcPr>
            <w:tcW w:w="4344"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海口市（55.10%）、三亚市（19.39%）、儋州市（5.10%）、陵水黎族自治县（5.10%）、澄迈县（4.08%）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05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信息工程学院</w:t>
            </w:r>
          </w:p>
        </w:tc>
        <w:tc>
          <w:tcPr>
            <w:tcW w:w="38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海南省（58.14%）、广东省（16.28%）、广西壮族自治区（4.65%）、云南省（2.33%）、内蒙古自治区（2.33%）</w:t>
            </w:r>
          </w:p>
        </w:tc>
        <w:tc>
          <w:tcPr>
            <w:tcW w:w="4344"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海口市（32.00%）、三亚市（12.00%）、澄迈县（12.00%）、屯昌县（8.00%）、陵水黎族自治县（8.00%）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05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机电工程学院</w:t>
            </w:r>
          </w:p>
        </w:tc>
        <w:tc>
          <w:tcPr>
            <w:tcW w:w="38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海南省（56.38%）、福建省（19.15%）、广东省（7.45%）、云南省（4.26%）、广西壮族自治区（3.19%）</w:t>
            </w:r>
          </w:p>
        </w:tc>
        <w:tc>
          <w:tcPr>
            <w:tcW w:w="4344"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海口市（50.94%）、三亚市（18.87%）、儋州市（5.66%）、万宁市（3.77%）、东方市（3.77%）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05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设计学院</w:t>
            </w:r>
          </w:p>
        </w:tc>
        <w:tc>
          <w:tcPr>
            <w:tcW w:w="38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海南省（52.78%）、广东省（25.00%）、贵州省（8.33%）、广西壮族自治区（5.56%）、上海市（2.78%）</w:t>
            </w:r>
          </w:p>
        </w:tc>
        <w:tc>
          <w:tcPr>
            <w:tcW w:w="4344"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海口市（57.89%）、万宁市（21.05%）、三亚市（15.79%）、儋州市（5.26%）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05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海事学院</w:t>
            </w:r>
          </w:p>
        </w:tc>
        <w:tc>
          <w:tcPr>
            <w:tcW w:w="38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海南省（46.43%）、湖北省（10.71%）、上海市（7.14%）、广东省（7.14%）、云南省（3.57%）</w:t>
            </w:r>
          </w:p>
        </w:tc>
        <w:tc>
          <w:tcPr>
            <w:tcW w:w="4344"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海口市（46.15%）、万宁市（15.38%）、三亚市（15.38%）、五指山市（7.69%）、文昌市（7.69%）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05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化学与材料工程学院</w:t>
            </w:r>
          </w:p>
        </w:tc>
        <w:tc>
          <w:tcPr>
            <w:tcW w:w="38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海南省（34.43%）、广东省（9.84%）、湖北省（8.20%）、山西省（6.56%）、浙江省（6.56%）</w:t>
            </w:r>
          </w:p>
        </w:tc>
        <w:tc>
          <w:tcPr>
            <w:tcW w:w="4344"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海口市（38.10%）、三亚市（19.05%）、东方市（9.52%）、儋州市（9.52%）、五指山市（4.76%）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05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10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临床医药学院</w:t>
            </w:r>
          </w:p>
        </w:tc>
        <w:tc>
          <w:tcPr>
            <w:tcW w:w="389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10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海南省（22.00%）、云南省（10.00%）、重庆市（7.00%）、贵州省（6.00%）、境外（6.00%）</w:t>
            </w:r>
          </w:p>
        </w:tc>
        <w:tc>
          <w:tcPr>
            <w:tcW w:w="4344"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100" w:line="240" w:lineRule="auto"/>
              <w:ind w:firstLine="0" w:firstLineChars="0"/>
              <w:jc w:val="both"/>
              <w:textAlignment w:val="auto"/>
              <w:rPr>
                <w:rFonts w:eastAsia="宋体"/>
                <w:snapToGrid/>
                <w:sz w:val="21"/>
                <w:lang w:eastAsia="zh-CN"/>
              </w:rPr>
            </w:pPr>
            <w:r>
              <w:rPr>
                <w:rFonts w:hint="eastAsia" w:eastAsia="宋体"/>
                <w:snapToGrid/>
                <w:sz w:val="21"/>
                <w:lang w:eastAsia="zh-CN"/>
              </w:rPr>
              <w:t>三亚市（36.36%）、海口市（22.73%）、东方市（9.09%）、五指山市（9.09%）、万宁市（4.55%）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05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传媒与音乐学院</w:t>
            </w:r>
          </w:p>
        </w:tc>
        <w:tc>
          <w:tcPr>
            <w:tcW w:w="389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海南省（28.57%）、云南省（14.29%）、广东省（14.29%）、贵州省（14.29%）、河南省（14.29%）</w:t>
            </w:r>
          </w:p>
        </w:tc>
        <w:tc>
          <w:tcPr>
            <w:tcW w:w="4344"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*海口市（100.00%）</w:t>
            </w:r>
          </w:p>
        </w:tc>
      </w:tr>
    </w:tbl>
    <w:p>
      <w:pPr>
        <w:rPr>
          <w:snapToGrid/>
          <w:sz w:val="21"/>
          <w:lang w:eastAsia="zh-CN"/>
        </w:rPr>
      </w:pPr>
      <w:bookmarkStart w:id="213" w:name="_Toc130307149"/>
      <w:bookmarkStart w:id="214" w:name="_Toc148372480"/>
      <w:r>
        <w:rPr>
          <w:rFonts w:hint="eastAsia" w:ascii="仿宋" w:hAnsi="仿宋"/>
          <w:sz w:val="21"/>
          <w:lang w:eastAsia="zh-CN"/>
        </w:rPr>
        <w:t>数据来源：北京新锦成教育技术有限公司</w:t>
      </w:r>
    </w:p>
    <w:p>
      <w:pPr>
        <w:pStyle w:val="3"/>
        <w:ind w:firstLine="643"/>
        <w:rPr>
          <w:lang w:eastAsia="zh-CN"/>
        </w:rPr>
      </w:pPr>
      <w:bookmarkStart w:id="215" w:name="_Toc151887769"/>
      <w:r>
        <w:rPr>
          <w:rFonts w:hint="eastAsia"/>
          <w:lang w:eastAsia="zh-CN"/>
        </w:rPr>
        <w:t>（二）</w:t>
      </w:r>
      <w:r>
        <w:rPr>
          <w:lang w:eastAsia="zh-CN"/>
        </w:rPr>
        <w:t>各</w:t>
      </w:r>
      <w:r>
        <w:rPr>
          <w:rFonts w:hint="eastAsia"/>
          <w:lang w:eastAsia="zh-CN"/>
        </w:rPr>
        <w:t>专业就业地区分布</w:t>
      </w:r>
      <w:bookmarkEnd w:id="213"/>
      <w:bookmarkEnd w:id="214"/>
      <w:bookmarkEnd w:id="215"/>
    </w:p>
    <w:p>
      <w:pPr>
        <w:ind w:firstLine="640"/>
        <w:rPr>
          <w:lang w:val="zh-CN" w:eastAsia="zh-CN"/>
        </w:rPr>
      </w:pPr>
      <w:r>
        <w:rPr>
          <w:rFonts w:hint="eastAsia"/>
          <w:lang w:val="zh-CN" w:eastAsia="zh-CN"/>
        </w:rPr>
        <w:t>各专业主要就业地区分布</w:t>
      </w:r>
      <w:r>
        <w:rPr>
          <w:lang w:val="zh-CN" w:eastAsia="zh-CN"/>
        </w:rPr>
        <w:t>：</w:t>
      </w:r>
      <w:r>
        <w:rPr>
          <w:rFonts w:hint="eastAsia"/>
          <w:lang w:val="zh-CN" w:eastAsia="zh-CN"/>
        </w:rPr>
        <w:t>各专业毕业生主要就业地区分布如下表所示。</w:t>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216" w:name="_Toc129867541"/>
      <w:r>
        <w:rPr>
          <w:rFonts w:hint="eastAsia" w:eastAsia="黑体"/>
          <w:b/>
          <w:sz w:val="21"/>
          <w:lang w:eastAsia="zh-CN"/>
        </w:rPr>
        <w:t>表4.</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表2-2-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16</w:t>
      </w:r>
      <w:r>
        <w:rPr>
          <w:rFonts w:eastAsia="黑体"/>
          <w:b/>
          <w:sz w:val="21"/>
          <w:lang w:eastAsia="zh-CN"/>
        </w:rPr>
        <w:fldChar w:fldCharType="end"/>
      </w:r>
      <w:r>
        <w:rPr>
          <w:rFonts w:eastAsia="黑体"/>
          <w:b/>
          <w:sz w:val="21"/>
          <w:lang w:eastAsia="zh-CN"/>
        </w:rPr>
        <w:t xml:space="preserve">  2022届</w:t>
      </w:r>
      <w:r>
        <w:rPr>
          <w:rFonts w:hint="eastAsia" w:eastAsia="黑体"/>
          <w:b/>
          <w:sz w:val="21"/>
          <w:lang w:eastAsia="zh-CN"/>
        </w:rPr>
        <w:t>各专业毕业生就业地区分布</w:t>
      </w:r>
      <w:bookmarkEnd w:id="216"/>
    </w:p>
    <w:tbl>
      <w:tblPr>
        <w:tblStyle w:val="35"/>
        <w:tblW w:w="5114" w:type="pct"/>
        <w:jc w:val="cente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fixed"/>
        <w:tblCellMar>
          <w:top w:w="0" w:type="dxa"/>
          <w:left w:w="108" w:type="dxa"/>
          <w:bottom w:w="0" w:type="dxa"/>
          <w:right w:w="108" w:type="dxa"/>
        </w:tblCellMar>
      </w:tblPr>
      <w:tblGrid>
        <w:gridCol w:w="1930"/>
        <w:gridCol w:w="3861"/>
        <w:gridCol w:w="4398"/>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jc w:val="center"/>
        </w:trPr>
        <w:tc>
          <w:tcPr>
            <w:tcW w:w="1701" w:type="dxa"/>
            <w:tcBorders>
              <w:top w:val="single" w:color="0F6FC6" w:sz="4" w:space="0"/>
              <w:left w:val="single" w:color="0F6FC6" w:sz="4" w:space="0"/>
              <w:bottom w:val="single" w:color="0F6FC6" w:sz="4" w:space="0"/>
              <w:right w:val="nil"/>
              <w:insideH w:val="single"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after="100" w:afterAutospacing="1" w:line="240" w:lineRule="auto"/>
              <w:ind w:firstLine="0" w:firstLineChars="0"/>
              <w:jc w:val="center"/>
              <w:textAlignment w:val="auto"/>
              <w:rPr>
                <w:rFonts w:ascii="宋体" w:hAnsi="宋体" w:eastAsia="宋体"/>
                <w:b w:val="0"/>
                <w:bCs w:val="0"/>
                <w:snapToGrid/>
                <w:color w:val="FFFFFF"/>
                <w:sz w:val="21"/>
                <w:lang w:eastAsia="zh-CN"/>
              </w:rPr>
            </w:pPr>
            <w:r>
              <w:rPr>
                <w:rFonts w:hint="eastAsia" w:ascii="宋体" w:hAnsi="宋体" w:eastAsia="宋体" w:cs="微软雅黑"/>
                <w:b/>
                <w:bCs/>
                <w:snapToGrid/>
                <w:color w:val="FFFFFF"/>
                <w:sz w:val="21"/>
                <w:lang w:eastAsia="zh-CN"/>
              </w:rPr>
              <w:t>专业</w:t>
            </w:r>
          </w:p>
        </w:tc>
        <w:tc>
          <w:tcPr>
            <w:tcW w:w="3402" w:type="dxa"/>
            <w:tcBorders>
              <w:top w:val="single" w:color="0F6FC6" w:sz="4" w:space="0"/>
              <w:bottom w:val="single" w:color="0F6FC6" w:sz="4" w:space="0"/>
              <w:right w:val="nil"/>
              <w:insideH w:val="single"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after="100" w:afterAutospacing="1" w:line="240" w:lineRule="auto"/>
              <w:ind w:firstLine="0" w:firstLineChars="0"/>
              <w:jc w:val="center"/>
              <w:textAlignment w:val="auto"/>
              <w:rPr>
                <w:rFonts w:ascii="宋体" w:hAnsi="宋体" w:eastAsia="宋体"/>
                <w:b w:val="0"/>
                <w:bCs w:val="0"/>
                <w:snapToGrid/>
                <w:color w:val="FFFFFF"/>
                <w:sz w:val="21"/>
                <w:lang w:eastAsia="zh-CN"/>
              </w:rPr>
            </w:pPr>
            <w:r>
              <w:rPr>
                <w:rFonts w:hint="eastAsia" w:ascii="宋体" w:hAnsi="宋体" w:eastAsia="宋体" w:cs="微软雅黑"/>
                <w:b/>
                <w:bCs/>
                <w:snapToGrid/>
                <w:color w:val="FFFFFF"/>
                <w:sz w:val="21"/>
                <w:lang w:eastAsia="zh-CN"/>
              </w:rPr>
              <w:t>就业人数占比排名前五的地区分布</w:t>
            </w:r>
          </w:p>
        </w:tc>
        <w:tc>
          <w:tcPr>
            <w:tcW w:w="3875" w:type="dxa"/>
            <w:tcBorders>
              <w:top w:val="single" w:color="0F6FC6" w:sz="4" w:space="0"/>
              <w:bottom w:val="single" w:color="0F6FC6" w:sz="4" w:space="0"/>
              <w:right w:val="single" w:color="0F6FC6" w:sz="4" w:space="0"/>
              <w:insideH w:val="single"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after="100" w:afterAutospacing="1" w:line="240" w:lineRule="auto"/>
              <w:ind w:firstLine="0" w:firstLineChars="0"/>
              <w:jc w:val="center"/>
              <w:textAlignment w:val="auto"/>
              <w:rPr>
                <w:rFonts w:ascii="宋体" w:hAnsi="宋体" w:eastAsia="宋体"/>
                <w:b w:val="0"/>
                <w:bCs w:val="0"/>
                <w:snapToGrid/>
                <w:color w:val="FFFFFF"/>
                <w:sz w:val="21"/>
                <w:lang w:eastAsia="zh-CN"/>
              </w:rPr>
            </w:pPr>
            <w:r>
              <w:rPr>
                <w:rFonts w:hint="eastAsia" w:ascii="宋体" w:hAnsi="宋体" w:eastAsia="宋体" w:cs="微软雅黑"/>
                <w:b/>
                <w:bCs/>
                <w:snapToGrid/>
                <w:color w:val="FFFFFF"/>
                <w:sz w:val="21"/>
                <w:lang w:eastAsia="zh-CN"/>
              </w:rPr>
              <w:t>省内就业人数占比排名前五的城市分布</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社区康复</w:t>
            </w:r>
          </w:p>
        </w:tc>
        <w:tc>
          <w:tcPr>
            <w:tcW w:w="340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海南省（100.00%）</w:t>
            </w:r>
          </w:p>
        </w:tc>
        <w:tc>
          <w:tcPr>
            <w:tcW w:w="387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海口市（85.71%）、万宁市（7.14%）、临高县（7.14%）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建筑设计</w:t>
            </w:r>
          </w:p>
        </w:tc>
        <w:tc>
          <w:tcPr>
            <w:tcW w:w="340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海南省（90.00%）、河北省（10.00%）</w:t>
            </w:r>
          </w:p>
        </w:tc>
        <w:tc>
          <w:tcPr>
            <w:tcW w:w="387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海口市（44.44%）、儋州市（22.22%）、文昌市（11.11%）、白沙黎族自治县（11.11%）、昌江黎族自治县（11.11%）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工程造价</w:t>
            </w:r>
          </w:p>
        </w:tc>
        <w:tc>
          <w:tcPr>
            <w:tcW w:w="340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海南省（89.66%）、广东省（10.34%）</w:t>
            </w:r>
          </w:p>
        </w:tc>
        <w:tc>
          <w:tcPr>
            <w:tcW w:w="387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海口市（42.31%）、三亚市（23.08%）、万宁市（11.54%）、儋州市（3.85%）、东方市（3.85%）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健康管理</w:t>
            </w:r>
          </w:p>
        </w:tc>
        <w:tc>
          <w:tcPr>
            <w:tcW w:w="340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海南省（89.47%）、广西壮族自治区（5.26%）、贵州省（5.26%）</w:t>
            </w:r>
          </w:p>
        </w:tc>
        <w:tc>
          <w:tcPr>
            <w:tcW w:w="387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海口市（58.82%）、三亚市（23.53%）、澄迈县（11.76%）、儋州市（5.88%）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会计</w:t>
            </w:r>
          </w:p>
        </w:tc>
        <w:tc>
          <w:tcPr>
            <w:tcW w:w="340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海南省（86.67%）、广东省（4.44%）、广西壮族自治区（2.22%）、云南省（2.22%）、贵州省（2.22%）</w:t>
            </w:r>
          </w:p>
        </w:tc>
        <w:tc>
          <w:tcPr>
            <w:tcW w:w="387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海口市（53.85%）、三亚市（20.51%）、文昌市（5.13%）、陵水黎族自治县（5.13%）、东方市（2.56%）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护理</w:t>
            </w:r>
          </w:p>
        </w:tc>
        <w:tc>
          <w:tcPr>
            <w:tcW w:w="340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海南省（85.90%）、广东省（4.49%）、浙江省（2.56%）、广西壮族自治区（1.92%）、贵州省（1.28%）</w:t>
            </w:r>
          </w:p>
        </w:tc>
        <w:tc>
          <w:tcPr>
            <w:tcW w:w="387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海口市（38.06%）、三亚市（18.66%）、琼海市（9.70%）、儋州市（8.96%）、东方市（3.73%）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市场营销</w:t>
            </w:r>
          </w:p>
        </w:tc>
        <w:tc>
          <w:tcPr>
            <w:tcW w:w="340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海南省（83.33%）、广东省（8.33%）、广西壮族自治区（8.33%）</w:t>
            </w:r>
          </w:p>
        </w:tc>
        <w:tc>
          <w:tcPr>
            <w:tcW w:w="387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海口市（40.00%）、三亚市（10.00%）、儋州市（10.00%）、文昌市（10.00%）、澄迈县（10.00%）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烹调工艺与营养</w:t>
            </w:r>
          </w:p>
        </w:tc>
        <w:tc>
          <w:tcPr>
            <w:tcW w:w="340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海南省（83.33%）、广东省（8.33%）、上海市（8.33%）</w:t>
            </w:r>
          </w:p>
        </w:tc>
        <w:tc>
          <w:tcPr>
            <w:tcW w:w="387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海口市（70.00%）、三亚市（20.00%）、儋州市（10.00%）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建筑工程技术</w:t>
            </w:r>
          </w:p>
        </w:tc>
        <w:tc>
          <w:tcPr>
            <w:tcW w:w="340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海南省（76.67%）、广西壮族自治区（6.67%）、福建省（6.67%）、广东省（3.33%）、湖北省（3.33%）</w:t>
            </w:r>
          </w:p>
        </w:tc>
        <w:tc>
          <w:tcPr>
            <w:tcW w:w="387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海口市（56.52%）、三亚市（21.74%）、东方市（4.35%）、文昌市（4.35%）、万宁市（4.35%）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物流管理</w:t>
            </w:r>
          </w:p>
        </w:tc>
        <w:tc>
          <w:tcPr>
            <w:tcW w:w="340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海南省（75.00%）、广东省（12.50%）、山东省（6.25%）、湖北省（6.25%）</w:t>
            </w:r>
          </w:p>
        </w:tc>
        <w:tc>
          <w:tcPr>
            <w:tcW w:w="387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海口市（75.00%）、三亚市（8.33%）、儋州市（8.33%）、澄迈县（8.33%）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新能源汽车技术</w:t>
            </w:r>
          </w:p>
        </w:tc>
        <w:tc>
          <w:tcPr>
            <w:tcW w:w="340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海南省（72.22%）、福建省（13.89%）、广东省（2.78%）、云南省（2.78%）、湖北省（2.78%）</w:t>
            </w:r>
          </w:p>
        </w:tc>
        <w:tc>
          <w:tcPr>
            <w:tcW w:w="387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海口市（42.31%）、三亚市（23.08%）、儋州市（7.69%）、五指山市（7.69%）、万宁市（7.69%）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石油化工技术</w:t>
            </w:r>
          </w:p>
        </w:tc>
        <w:tc>
          <w:tcPr>
            <w:tcW w:w="340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海南省（64.29%）、广东省（21.43%）、广西壮族自治区（7.14%）、江苏省（7.14%）</w:t>
            </w:r>
          </w:p>
        </w:tc>
        <w:tc>
          <w:tcPr>
            <w:tcW w:w="387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海口市（55.56%）、三亚市（33.33%）、儋州市（11.11%）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计算机网络技术</w:t>
            </w:r>
          </w:p>
        </w:tc>
        <w:tc>
          <w:tcPr>
            <w:tcW w:w="340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海南省（64.29%）、广东省（14.29%）、广西壮族自治区（7.14%）、湖北省（7.14%）、内蒙古自治区（7.14%）</w:t>
            </w:r>
          </w:p>
        </w:tc>
        <w:tc>
          <w:tcPr>
            <w:tcW w:w="387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海口市（44.44%）、澄迈县（22.22%）、三亚市（11.11%）、五指山市（11.11%）、屯昌县（11.11%）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工商企业管理</w:t>
            </w:r>
          </w:p>
        </w:tc>
        <w:tc>
          <w:tcPr>
            <w:tcW w:w="340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海南省（62.50%）、广东省（18.75%）、广西壮族自治区（6.25%）、河南省（6.25%）、贵州省（6.25%）</w:t>
            </w:r>
          </w:p>
        </w:tc>
        <w:tc>
          <w:tcPr>
            <w:tcW w:w="387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海口市（60.00%）、三亚市（30.00%）、陵水黎族自治县（10.00%）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机械设计与制造（中高职转段）</w:t>
            </w:r>
          </w:p>
        </w:tc>
        <w:tc>
          <w:tcPr>
            <w:tcW w:w="340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海南省（62.50%）、福建省（25.00%）、广东省（12.50%）</w:t>
            </w:r>
          </w:p>
        </w:tc>
        <w:tc>
          <w:tcPr>
            <w:tcW w:w="387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海口市（80.00%）、陵水黎族自治县（20.00%）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旅游管理</w:t>
            </w:r>
          </w:p>
        </w:tc>
        <w:tc>
          <w:tcPr>
            <w:tcW w:w="340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海南省（60.00%）、广东省（20.00%）、贵州省（20.00%）</w:t>
            </w:r>
          </w:p>
        </w:tc>
        <w:tc>
          <w:tcPr>
            <w:tcW w:w="387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三亚市（33.33%）、海口市（33.33%）、儋州市（16.67%）、澄迈县（16.67%）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金融管理</w:t>
            </w:r>
          </w:p>
        </w:tc>
        <w:tc>
          <w:tcPr>
            <w:tcW w:w="340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海南省（58.33%）、上海市（16.67%）、广东省（8.33%）、贵州省（8.33%）、陕西省（8.33%）</w:t>
            </w:r>
          </w:p>
        </w:tc>
        <w:tc>
          <w:tcPr>
            <w:tcW w:w="387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海口市（42.86%）、儋州市（14.29%）、琼海市（14.29%）、保亭黎族苗族自治县（14.29%）、陵水黎族自治县（14.29%）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软件技术</w:t>
            </w:r>
          </w:p>
        </w:tc>
        <w:tc>
          <w:tcPr>
            <w:tcW w:w="340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海南省（56.25%）、广东省（18.75%）、广西壮族自治区（6.25%）、江苏省（6.25%）、境外（6.25%）</w:t>
            </w:r>
          </w:p>
        </w:tc>
        <w:tc>
          <w:tcPr>
            <w:tcW w:w="387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海口市（33.33%）、陵水黎族自治县（22.22%）、三亚市（11.11%）、琼海市（11.11%）、保亭黎族苗族自治县（11.11%）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环境艺术设计</w:t>
            </w:r>
          </w:p>
        </w:tc>
        <w:tc>
          <w:tcPr>
            <w:tcW w:w="340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海南省（50.00%）、广东省（33.33%）、浙江省（8.33%）、贵州省（8.33%）</w:t>
            </w:r>
          </w:p>
        </w:tc>
        <w:tc>
          <w:tcPr>
            <w:tcW w:w="387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海口市（66.67%）、万宁市（33.33%）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电气自动化技术</w:t>
            </w:r>
          </w:p>
        </w:tc>
        <w:tc>
          <w:tcPr>
            <w:tcW w:w="340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海南省（45.45%）、福建省（36.36%）、云南省（18.18%）</w:t>
            </w:r>
          </w:p>
        </w:tc>
        <w:tc>
          <w:tcPr>
            <w:tcW w:w="387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海口市（60.00%）、儋州市（20.00%）、陵水黎族自治县（20.00%）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汽车检测与维修技术</w:t>
            </w:r>
          </w:p>
        </w:tc>
        <w:tc>
          <w:tcPr>
            <w:tcW w:w="340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海南省（42.86%）、福建省（14.29%）、湖北省（9.52%）、重庆市（9.52%）、广东省（4.76%）</w:t>
            </w:r>
          </w:p>
        </w:tc>
        <w:tc>
          <w:tcPr>
            <w:tcW w:w="387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海口市（33.33%）、三亚市（22.22%）、东方市（11.11%）、澄迈县（11.11%）、琼海市（11.11%）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艺术设计</w:t>
            </w:r>
          </w:p>
        </w:tc>
        <w:tc>
          <w:tcPr>
            <w:tcW w:w="340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海南省（41.67%）、广东省（25.00%）、广西壮族自治区（8.33%）、贵州省（8.33%）、上海市（8.33%）</w:t>
            </w:r>
          </w:p>
        </w:tc>
        <w:tc>
          <w:tcPr>
            <w:tcW w:w="387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三亚市（40.00%）、海口市（40.00%）、万宁市（20.00%）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中药学</w:t>
            </w:r>
          </w:p>
        </w:tc>
        <w:tc>
          <w:tcPr>
            <w:tcW w:w="340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海南省（38.24%）、云南省（5.88%）、境外（5.88%）、河北省（5.88%）、贵州省（5.88%）</w:t>
            </w:r>
          </w:p>
        </w:tc>
        <w:tc>
          <w:tcPr>
            <w:tcW w:w="387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海口市（38.46%）、三亚市（23.08%）、东方市（7.69%）、万宁市（7.69%）、陵水黎族自治县（7.69%）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航海技术</w:t>
            </w:r>
          </w:p>
        </w:tc>
        <w:tc>
          <w:tcPr>
            <w:tcW w:w="340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海南省（35.71%）、湖北省（14.29%）、广东省（7.14%）、云南省（7.14%）、四川省（7.14%）</w:t>
            </w:r>
          </w:p>
        </w:tc>
        <w:tc>
          <w:tcPr>
            <w:tcW w:w="387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海口市（40.00%）、三亚市（20.00%）、文昌市（20.00%）、万宁市（20.00%）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药品生产技术</w:t>
            </w:r>
          </w:p>
        </w:tc>
        <w:tc>
          <w:tcPr>
            <w:tcW w:w="340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海南省（31.58%）、湖北省（10.53%）、陕西省（10.53%）、山西省（10.53%）、广东省（5.26%）</w:t>
            </w:r>
          </w:p>
        </w:tc>
        <w:tc>
          <w:tcPr>
            <w:tcW w:w="387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海口市（50.00%）、三亚市（16.67%）、儋州市（16.67%）、定安县（16.67%）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食品营养与检测</w:t>
            </w:r>
          </w:p>
        </w:tc>
        <w:tc>
          <w:tcPr>
            <w:tcW w:w="340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海南省（21.43%）、浙江省（10.71%）、湖北省（10.71%）、广东省（7.14%）、山东省（7.14%）</w:t>
            </w:r>
          </w:p>
        </w:tc>
        <w:tc>
          <w:tcPr>
            <w:tcW w:w="387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东方市（33.33%）、五指山市（16.67%）、文昌市（16.67%）、琼海市（16.67%）、三沙市（16.67%）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口腔医学技术</w:t>
            </w:r>
          </w:p>
        </w:tc>
        <w:tc>
          <w:tcPr>
            <w:tcW w:w="340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海南省（13.64%）、云南省（12.12%）、重庆市（9.09%）、辽宁省（7.58%）、境外（6.06%）</w:t>
            </w:r>
          </w:p>
        </w:tc>
        <w:tc>
          <w:tcPr>
            <w:tcW w:w="387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三亚市（55.56%）、五指山市（22.22%）、东方市（11.11%）、文昌市（11.11%）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10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机电一体化技术</w:t>
            </w:r>
          </w:p>
        </w:tc>
        <w:tc>
          <w:tcPr>
            <w:tcW w:w="340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10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海南省（42.86%）、广东省（28.57%）、广西壮族自治区（14.29%）、福建省（14.29%）</w:t>
            </w:r>
          </w:p>
        </w:tc>
        <w:tc>
          <w:tcPr>
            <w:tcW w:w="387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10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*海口市（66.67%）、三亚市（33.33%）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风景园林设计</w:t>
            </w:r>
          </w:p>
        </w:tc>
        <w:tc>
          <w:tcPr>
            <w:tcW w:w="340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海南省（50.00%）、广西壮族自治区（25.00%）、贵州省（25.00%）</w:t>
            </w:r>
          </w:p>
        </w:tc>
        <w:tc>
          <w:tcPr>
            <w:tcW w:w="387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*海口市（50.00%）、万宁市（50.00%）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音乐表演</w:t>
            </w:r>
          </w:p>
        </w:tc>
        <w:tc>
          <w:tcPr>
            <w:tcW w:w="340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海南省（28.57%）、广东省（14.29%）、云南省（14.29%）、河南省（14.29%）、贵州省（14.29%）</w:t>
            </w:r>
          </w:p>
        </w:tc>
        <w:tc>
          <w:tcPr>
            <w:tcW w:w="387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体育运营与管理</w:t>
            </w:r>
          </w:p>
        </w:tc>
        <w:tc>
          <w:tcPr>
            <w:tcW w:w="340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*海南省（100.00%）</w:t>
            </w:r>
          </w:p>
        </w:tc>
        <w:tc>
          <w:tcPr>
            <w:tcW w:w="387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工业机器人技术</w:t>
            </w:r>
          </w:p>
        </w:tc>
        <w:tc>
          <w:tcPr>
            <w:tcW w:w="340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*广西壮族自治区（100.00%）</w:t>
            </w:r>
          </w:p>
        </w:tc>
        <w:tc>
          <w:tcPr>
            <w:tcW w:w="387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建筑装饰工程技术</w:t>
            </w:r>
          </w:p>
        </w:tc>
        <w:tc>
          <w:tcPr>
            <w:tcW w:w="340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*海南省（100.00%）</w:t>
            </w:r>
          </w:p>
        </w:tc>
        <w:tc>
          <w:tcPr>
            <w:tcW w:w="387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*海口市（66.67%）、陵水黎族自治县（33.33%）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智能控制技术</w:t>
            </w:r>
          </w:p>
        </w:tc>
        <w:tc>
          <w:tcPr>
            <w:tcW w:w="340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*广东省（100.00%）</w:t>
            </w:r>
          </w:p>
        </w:tc>
        <w:tc>
          <w:tcPr>
            <w:tcW w:w="387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助产</w:t>
            </w:r>
          </w:p>
        </w:tc>
        <w:tc>
          <w:tcPr>
            <w:tcW w:w="340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*海南省（87.50%）、广西壮族自治区（12.50%）</w:t>
            </w:r>
          </w:p>
        </w:tc>
        <w:tc>
          <w:tcPr>
            <w:tcW w:w="387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三亚市（28.57%）、海口市（28.57%）、东方市（14.29%）、琼海市（14.29%）、白沙黎族自治县（14.29%）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机电一体化技术（中高职转段）</w:t>
            </w:r>
          </w:p>
        </w:tc>
        <w:tc>
          <w:tcPr>
            <w:tcW w:w="340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*海南省（80.00%）、福建省（20.00%）</w:t>
            </w:r>
          </w:p>
        </w:tc>
        <w:tc>
          <w:tcPr>
            <w:tcW w:w="387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*海口市（75.00%）、三亚市（25.00%）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传播与策划</w:t>
            </w:r>
          </w:p>
        </w:tc>
        <w:tc>
          <w:tcPr>
            <w:tcW w:w="340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*海南省（75.00%）、广东省（25.00%）</w:t>
            </w:r>
          </w:p>
        </w:tc>
        <w:tc>
          <w:tcPr>
            <w:tcW w:w="387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海口市（66.67%）、三亚市（16.67%）、儋州市（16.67%）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snapToGrid/>
                <w:sz w:val="21"/>
                <w:lang w:eastAsia="zh-CN"/>
              </w:rPr>
            </w:pPr>
            <w:r>
              <w:rPr>
                <w:rFonts w:hint="eastAsia" w:eastAsia="宋体"/>
                <w:b w:val="0"/>
                <w:bCs w:val="0"/>
                <w:snapToGrid/>
                <w:sz w:val="21"/>
                <w:lang w:eastAsia="zh-CN"/>
              </w:rPr>
              <w:t>国际邮轮乘务</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管理</w:t>
            </w:r>
          </w:p>
        </w:tc>
        <w:tc>
          <w:tcPr>
            <w:tcW w:w="340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*海南省（66.67%）、福建省（33.33%）</w:t>
            </w:r>
          </w:p>
        </w:tc>
        <w:tc>
          <w:tcPr>
            <w:tcW w:w="387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*海口市（50.00%）、三沙市（50.00%）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轮机工程技术</w:t>
            </w:r>
          </w:p>
        </w:tc>
        <w:tc>
          <w:tcPr>
            <w:tcW w:w="340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*海南省（66.67%）、湖北省（33.33%）</w:t>
            </w:r>
          </w:p>
        </w:tc>
        <w:tc>
          <w:tcPr>
            <w:tcW w:w="387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*五指山市（50.00%）、万宁市（50.00%）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酒店管理</w:t>
            </w:r>
          </w:p>
        </w:tc>
        <w:tc>
          <w:tcPr>
            <w:tcW w:w="340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*海南省（66.67%）、浙江省（16.67%）、上海市（16.67%）</w:t>
            </w:r>
          </w:p>
        </w:tc>
        <w:tc>
          <w:tcPr>
            <w:tcW w:w="387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*三亚市（50.00%）、海口市（50.00%）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电子商务</w:t>
            </w:r>
          </w:p>
        </w:tc>
        <w:tc>
          <w:tcPr>
            <w:tcW w:w="340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*海南省（60.00%）、广东省（40.00%）</w:t>
            </w:r>
          </w:p>
        </w:tc>
        <w:tc>
          <w:tcPr>
            <w:tcW w:w="387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*东方市（33.33%）、文昌市（33.33%）、屯昌县（33.33%）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机械设计与制造</w:t>
            </w:r>
          </w:p>
        </w:tc>
        <w:tc>
          <w:tcPr>
            <w:tcW w:w="340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*福建省（50.00%）、广东省（25.00%）、海南省（25.00%）</w:t>
            </w:r>
          </w:p>
        </w:tc>
        <w:tc>
          <w:tcPr>
            <w:tcW w:w="387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*海口市（100.00%）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snapToGrid/>
                <w:sz w:val="21"/>
                <w:lang w:eastAsia="zh-CN"/>
              </w:rPr>
            </w:pPr>
            <w:r>
              <w:rPr>
                <w:rFonts w:hint="eastAsia" w:eastAsia="宋体"/>
                <w:b w:val="0"/>
                <w:bCs w:val="0"/>
                <w:snapToGrid/>
                <w:sz w:val="21"/>
                <w:lang w:eastAsia="zh-CN"/>
              </w:rPr>
              <w:t>大数据技术与</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应用</w:t>
            </w:r>
          </w:p>
        </w:tc>
        <w:tc>
          <w:tcPr>
            <w:tcW w:w="3402"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*海南省（50.00%）、云南省（12.50%）、江西省（12.50%）、河南省（12.50%）、香港特别行政区（12.50%）</w:t>
            </w:r>
          </w:p>
        </w:tc>
        <w:tc>
          <w:tcPr>
            <w:tcW w:w="3875"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*三亚市（25.00%）、海口市（25.00%）、澄迈县（25.00%）、白沙黎族自治县（25.00%）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701"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center"/>
              <w:textAlignment w:val="auto"/>
              <w:rPr>
                <w:rFonts w:eastAsia="宋体"/>
                <w:b w:val="0"/>
                <w:bCs w:val="0"/>
                <w:snapToGrid/>
                <w:sz w:val="21"/>
                <w:lang w:eastAsia="zh-CN"/>
              </w:rPr>
            </w:pPr>
            <w:r>
              <w:rPr>
                <w:rFonts w:hint="eastAsia" w:eastAsia="宋体"/>
                <w:b w:val="0"/>
                <w:bCs w:val="0"/>
                <w:snapToGrid/>
                <w:sz w:val="21"/>
                <w:lang w:eastAsia="zh-CN"/>
              </w:rPr>
              <w:t>水路运输与海事管理</w:t>
            </w:r>
          </w:p>
        </w:tc>
        <w:tc>
          <w:tcPr>
            <w:tcW w:w="3402"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*海南省（33.33%）、上海市（33.33%）、广东省（16.67%）、贵州省（16.67%）</w:t>
            </w:r>
          </w:p>
        </w:tc>
        <w:tc>
          <w:tcPr>
            <w:tcW w:w="3875"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0" w:line="240" w:lineRule="auto"/>
              <w:ind w:firstLine="0" w:firstLineChars="0"/>
              <w:jc w:val="both"/>
              <w:textAlignment w:val="auto"/>
              <w:rPr>
                <w:rFonts w:eastAsia="宋体"/>
                <w:snapToGrid/>
                <w:sz w:val="21"/>
                <w:lang w:eastAsia="zh-CN"/>
              </w:rPr>
            </w:pPr>
            <w:r>
              <w:rPr>
                <w:rFonts w:hint="eastAsia" w:eastAsia="宋体"/>
                <w:snapToGrid/>
                <w:sz w:val="21"/>
                <w:lang w:eastAsia="zh-CN"/>
              </w:rPr>
              <w:t>*三亚市（50.00%）、海口市（50.00%）</w:t>
            </w:r>
          </w:p>
        </w:tc>
      </w:tr>
    </w:tbl>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Chars="0"/>
        <w:jc w:val="both"/>
        <w:textAlignment w:val="auto"/>
        <w:rPr>
          <w:rFonts w:ascii="黑体" w:hAnsi="黑体" w:eastAsia="黑体"/>
          <w:snapToGrid/>
          <w:sz w:val="21"/>
          <w:lang w:eastAsia="zh-CN"/>
        </w:rPr>
      </w:pPr>
      <w:r>
        <w:rPr>
          <w:rFonts w:hint="eastAsia" w:ascii="黑体" w:hAnsi="黑体" w:eastAsia="黑体"/>
          <w:snapToGrid/>
          <w:sz w:val="21"/>
          <w:lang w:eastAsia="zh-CN"/>
        </w:rPr>
        <w:t>注：*专业样本量较小，其分析结果仅供参考，不纳入到报告此处分析范畴。</w:t>
      </w:r>
    </w:p>
    <w:p>
      <w:pPr>
        <w:rPr>
          <w:snapToGrid/>
          <w:sz w:val="21"/>
          <w:lang w:eastAsia="zh-CN"/>
        </w:rPr>
      </w:pPr>
      <w:r>
        <w:rPr>
          <w:rFonts w:hint="eastAsia" w:ascii="仿宋" w:hAnsi="仿宋"/>
          <w:sz w:val="21"/>
          <w:lang w:eastAsia="zh-CN"/>
        </w:rPr>
        <w:t>数据来源：北京新锦成教育技术有限公司</w:t>
      </w:r>
    </w:p>
    <w:p>
      <w:pPr>
        <w:pStyle w:val="3"/>
        <w:ind w:firstLine="643"/>
        <w:rPr>
          <w:lang w:eastAsia="zh-CN"/>
        </w:rPr>
      </w:pPr>
      <w:bookmarkStart w:id="217" w:name="_Toc151887770"/>
      <w:bookmarkStart w:id="218" w:name="_Toc130307150"/>
      <w:bookmarkStart w:id="219" w:name="_Toc148372481"/>
      <w:r>
        <w:rPr>
          <w:rFonts w:hint="eastAsia"/>
          <w:lang w:eastAsia="zh-CN"/>
        </w:rPr>
        <w:t>（三）生源地与就业地域交叉分析</w:t>
      </w:r>
      <w:bookmarkEnd w:id="217"/>
      <w:bookmarkEnd w:id="218"/>
      <w:bookmarkEnd w:id="219"/>
    </w:p>
    <w:p>
      <w:pPr>
        <w:ind w:firstLine="640"/>
        <w:rPr>
          <w:lang w:val="zh-CN" w:eastAsia="zh-CN"/>
        </w:rPr>
      </w:pPr>
      <w:bookmarkStart w:id="220" w:name="_Hlk134548003"/>
      <w:r>
        <w:rPr>
          <w:rFonts w:hint="eastAsia"/>
          <w:lang w:eastAsia="zh-CN"/>
        </w:rPr>
        <w:t>“省内就业”</w:t>
      </w:r>
      <w:bookmarkEnd w:id="220"/>
      <w:r>
        <w:rPr>
          <w:rFonts w:hint="eastAsia"/>
          <w:lang w:eastAsia="zh-CN"/>
        </w:rPr>
        <w:t>就业</w:t>
      </w:r>
      <w:r>
        <w:rPr>
          <w:rFonts w:hint="eastAsia"/>
          <w:lang w:val="zh-CN" w:eastAsia="zh-CN"/>
        </w:rPr>
        <w:t>为省内生源的首要选择</w:t>
      </w:r>
      <w:r>
        <w:rPr>
          <w:rFonts w:hint="eastAsia"/>
          <w:lang w:eastAsia="zh-CN"/>
        </w:rPr>
        <w:t>，</w:t>
      </w:r>
      <w:r>
        <w:rPr>
          <w:rFonts w:hint="eastAsia"/>
          <w:lang w:val="zh-CN" w:eastAsia="zh-CN"/>
        </w:rPr>
        <w:t>其中</w:t>
      </w:r>
      <w:r>
        <w:rPr>
          <w:rFonts w:hint="eastAsia"/>
          <w:lang w:eastAsia="zh-CN"/>
        </w:rPr>
        <w:t>75.89%</w:t>
      </w:r>
      <w:r>
        <w:rPr>
          <w:rFonts w:hint="eastAsia"/>
          <w:lang w:val="zh-CN" w:eastAsia="zh-CN"/>
        </w:rPr>
        <w:t>的省内生源选择留在“海南省”就业</w:t>
      </w:r>
      <w:r>
        <w:rPr>
          <w:lang w:eastAsia="zh-CN"/>
        </w:rPr>
        <w:t>；</w:t>
      </w:r>
      <w:r>
        <w:rPr>
          <w:rFonts w:hint="eastAsia"/>
          <w:lang w:val="zh-CN" w:eastAsia="zh-CN"/>
        </w:rPr>
        <w:t xml:space="preserve"> “</w:t>
      </w:r>
      <w:r>
        <w:rPr>
          <w:rFonts w:hint="eastAsia"/>
          <w:lang w:eastAsia="zh-CN"/>
        </w:rPr>
        <w:t>其他省份就业</w:t>
      </w:r>
      <w:r>
        <w:rPr>
          <w:rFonts w:hint="eastAsia"/>
          <w:lang w:val="zh-CN" w:eastAsia="zh-CN"/>
        </w:rPr>
        <w:t>”</w:t>
      </w:r>
      <w:r>
        <w:rPr>
          <w:rFonts w:hint="eastAsia"/>
          <w:lang w:eastAsia="zh-CN"/>
        </w:rPr>
        <w:t>是省外生源的首要选择，占比为51.45%</w:t>
      </w:r>
      <w:r>
        <w:rPr>
          <w:lang w:val="zh-CN" w:eastAsia="zh-CN"/>
        </w:rPr>
        <w:t>。</w:t>
      </w:r>
    </w:p>
    <w:p>
      <w:pPr>
        <w:pBdr>
          <w:top w:val="none" w:color="000000" w:sz="0" w:space="0"/>
          <w:left w:val="none" w:color="000000" w:sz="0" w:space="0"/>
          <w:bottom w:val="none" w:color="000000" w:sz="0" w:space="0"/>
          <w:right w:val="none" w:color="000000" w:sz="0" w:space="0"/>
          <w:between w:val="none" w:color="000000" w:sz="0" w:space="0"/>
        </w:pBdr>
        <w:spacing w:line="360" w:lineRule="auto"/>
        <w:ind w:firstLine="480"/>
        <w:jc w:val="both"/>
        <w:rPr>
          <w:rFonts w:eastAsia="Calibri" w:cs="宋体"/>
          <w:sz w:val="24"/>
          <w:lang w:eastAsia="zh-CN"/>
        </w:rPr>
      </w:pPr>
      <w:r>
        <w:rPr>
          <w:rFonts w:eastAsia="Calibri" w:cs="宋体"/>
          <w:sz w:val="24"/>
          <w:lang w:eastAsia="zh-CN"/>
        </w:rPr>
        <w:drawing>
          <wp:inline distT="0" distB="0" distL="0" distR="0">
            <wp:extent cx="2275205" cy="1666875"/>
            <wp:effectExtent l="0" t="0" r="0" b="0"/>
            <wp:docPr id="540" name="图表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Pr>
          <w:rFonts w:eastAsia="Calibri" w:cs="宋体"/>
          <w:sz w:val="24"/>
          <w:lang w:eastAsia="zh-CN"/>
        </w:rPr>
        <w:drawing>
          <wp:inline distT="0" distB="0" distL="0" distR="0">
            <wp:extent cx="2318385" cy="1628775"/>
            <wp:effectExtent l="0" t="0" r="5715" b="0"/>
            <wp:docPr id="541" name="图表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line="360" w:lineRule="auto"/>
        <w:ind w:firstLine="1980" w:firstLineChars="1100"/>
        <w:jc w:val="both"/>
        <w:rPr>
          <w:rFonts w:ascii="宋体" w:hAnsi="宋体" w:eastAsia="黑体" w:cs="宋体"/>
          <w:sz w:val="18"/>
          <w:szCs w:val="18"/>
          <w:lang w:eastAsia="zh-CN"/>
        </w:rPr>
      </w:pPr>
      <w:r>
        <w:rPr>
          <w:rFonts w:hint="eastAsia" w:ascii="宋体" w:hAnsi="宋体" w:eastAsia="黑体" w:cs="宋体"/>
          <w:sz w:val="18"/>
          <w:szCs w:val="18"/>
          <w:lang w:eastAsia="zh-CN"/>
        </w:rPr>
        <w:t xml:space="preserve">省内生源 </w:t>
      </w:r>
      <w:r>
        <w:rPr>
          <w:rFonts w:ascii="宋体" w:hAnsi="宋体" w:eastAsia="黑体" w:cs="宋体"/>
          <w:sz w:val="18"/>
          <w:szCs w:val="18"/>
          <w:lang w:eastAsia="zh-CN"/>
        </w:rPr>
        <w:t xml:space="preserve">                              </w:t>
      </w:r>
      <w:r>
        <w:rPr>
          <w:rFonts w:hint="eastAsia" w:ascii="宋体" w:hAnsi="宋体" w:eastAsia="黑体" w:cs="宋体"/>
          <w:sz w:val="18"/>
          <w:szCs w:val="18"/>
          <w:lang w:eastAsia="zh-CN"/>
        </w:rPr>
        <w:t>省外生源</w:t>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221" w:name="_Toc129867543"/>
      <w:r>
        <w:rPr>
          <w:rFonts w:hint="eastAsia" w:eastAsia="黑体"/>
          <w:b/>
          <w:sz w:val="21"/>
          <w:lang w:eastAsia="zh-CN"/>
        </w:rPr>
        <w:t>图4.25</w:t>
      </w:r>
      <w:r>
        <w:rPr>
          <w:rFonts w:eastAsia="黑体"/>
          <w:b/>
          <w:sz w:val="21"/>
          <w:lang w:eastAsia="zh-CN"/>
        </w:rPr>
        <w:t xml:space="preserve"> </w:t>
      </w:r>
      <w:r>
        <w:rPr>
          <w:rFonts w:hint="eastAsia" w:eastAsia="黑体"/>
          <w:b/>
          <w:sz w:val="21"/>
          <w:lang w:eastAsia="zh-CN"/>
        </w:rPr>
        <w:t xml:space="preserve"> 2022届毕业生省内外</w:t>
      </w:r>
      <w:r>
        <w:rPr>
          <w:rFonts w:eastAsia="黑体"/>
          <w:b/>
          <w:sz w:val="21"/>
          <w:lang w:eastAsia="zh-CN"/>
        </w:rPr>
        <w:t>生源就业地区分布</w:t>
      </w:r>
      <w:bookmarkEnd w:id="221"/>
      <w:r>
        <w:rPr>
          <w:rFonts w:hint="eastAsia" w:eastAsia="黑体"/>
          <w:b/>
          <w:sz w:val="21"/>
          <w:lang w:eastAsia="zh-CN"/>
        </w:rPr>
        <w:t xml:space="preserve"> </w:t>
      </w:r>
    </w:p>
    <w:p>
      <w:pPr>
        <w:rPr>
          <w:snapToGrid/>
          <w:sz w:val="21"/>
          <w:lang w:eastAsia="zh-CN"/>
        </w:rPr>
      </w:pPr>
      <w:r>
        <w:rPr>
          <w:rFonts w:hint="eastAsia" w:ascii="仿宋" w:hAnsi="仿宋"/>
          <w:sz w:val="21"/>
          <w:lang w:eastAsia="zh-CN"/>
        </w:rPr>
        <w:t>数据来源：北京新锦成教育技术有限公司</w:t>
      </w:r>
    </w:p>
    <w:p>
      <w:pPr>
        <w:ind w:firstLine="640"/>
        <w:rPr>
          <w:lang w:val="zh-CN" w:eastAsia="zh-CN"/>
        </w:rPr>
      </w:pPr>
      <w:r>
        <w:rPr>
          <w:rFonts w:hint="eastAsia"/>
          <w:lang w:val="zh-CN" w:eastAsia="zh-CN"/>
        </w:rPr>
        <w:t>主要就业地区月均收入</w:t>
      </w:r>
      <w:r>
        <w:rPr>
          <w:rFonts w:hint="eastAsia"/>
          <w:lang w:eastAsia="zh-CN"/>
        </w:rPr>
        <w:t>：</w:t>
      </w:r>
      <w:r>
        <w:rPr>
          <w:rFonts w:hint="eastAsia"/>
          <w:lang w:val="zh-CN" w:eastAsia="zh-CN"/>
        </w:rPr>
        <w:t>在福建省、湖北省就业的毕业生当前月均收入水平相对较高，分别为5789元、5293元。</w:t>
      </w:r>
    </w:p>
    <w:p>
      <w:pPr>
        <w:pBdr>
          <w:top w:val="none" w:color="000000" w:sz="0" w:space="0"/>
          <w:left w:val="none" w:color="000000" w:sz="0" w:space="0"/>
          <w:bottom w:val="none" w:color="000000" w:sz="0" w:space="0"/>
          <w:right w:val="none" w:color="000000" w:sz="0" w:space="0"/>
          <w:between w:val="none" w:color="000000" w:sz="0" w:space="0"/>
        </w:pBdr>
        <w:spacing w:before="163" w:after="120" w:line="360" w:lineRule="auto"/>
        <w:ind w:firstLine="480"/>
        <w:jc w:val="center"/>
        <w:rPr>
          <w:rFonts w:eastAsia="Calibri"/>
          <w:color w:val="auto"/>
          <w:sz w:val="21"/>
          <w:lang w:eastAsia="zh-CN"/>
        </w:rPr>
      </w:pPr>
      <w:r>
        <w:rPr>
          <w:rFonts w:ascii="Calibri" w:hAnsi="Calibri" w:eastAsia="Calibri" w:cs="宋体"/>
          <w:sz w:val="24"/>
          <w:lang w:eastAsia="zh-CN"/>
        </w:rPr>
        <w:drawing>
          <wp:inline distT="0" distB="0" distL="0" distR="0">
            <wp:extent cx="4895850" cy="1790700"/>
            <wp:effectExtent l="0" t="0" r="0" b="0"/>
            <wp:docPr id="54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222" w:name="_Toc129867544"/>
      <w:r>
        <w:rPr>
          <w:rFonts w:hint="eastAsia" w:eastAsia="黑体"/>
          <w:b/>
          <w:sz w:val="21"/>
          <w:lang w:eastAsia="zh-CN"/>
        </w:rPr>
        <w:t>图4.26  2022届主要</w:t>
      </w:r>
      <w:r>
        <w:rPr>
          <w:rFonts w:eastAsia="黑体"/>
          <w:b/>
          <w:sz w:val="21"/>
          <w:lang w:eastAsia="zh-CN"/>
        </w:rPr>
        <w:t>就业地区</w:t>
      </w:r>
      <w:r>
        <w:rPr>
          <w:rFonts w:hint="eastAsia" w:eastAsia="黑体"/>
          <w:b/>
          <w:sz w:val="21"/>
          <w:lang w:eastAsia="zh-CN"/>
        </w:rPr>
        <w:t>毕业生的月均收入</w:t>
      </w:r>
      <w:r>
        <w:rPr>
          <w:rFonts w:eastAsia="黑体"/>
          <w:b/>
          <w:sz w:val="21"/>
          <w:lang w:eastAsia="zh-CN"/>
        </w:rPr>
        <w:t>分布</w:t>
      </w:r>
      <w:r>
        <w:rPr>
          <w:rFonts w:hint="eastAsia" w:eastAsia="黑体"/>
          <w:b/>
          <w:sz w:val="21"/>
          <w:lang w:eastAsia="zh-CN"/>
        </w:rPr>
        <w:t xml:space="preserve"> （单位</w:t>
      </w:r>
      <w:r>
        <w:rPr>
          <w:rFonts w:eastAsia="黑体"/>
          <w:b/>
          <w:sz w:val="21"/>
          <w:lang w:eastAsia="zh-CN"/>
        </w:rPr>
        <w:t>：</w:t>
      </w:r>
      <w:r>
        <w:rPr>
          <w:rFonts w:hint="eastAsia" w:eastAsia="黑体"/>
          <w:b/>
          <w:sz w:val="21"/>
          <w:lang w:eastAsia="zh-CN"/>
        </w:rPr>
        <w:t>元）</w:t>
      </w:r>
      <w:bookmarkEnd w:id="222"/>
    </w:p>
    <w:p>
      <w:pPr>
        <w:pBdr>
          <w:top w:val="none" w:color="000000" w:sz="0" w:space="0"/>
          <w:left w:val="none" w:color="000000" w:sz="0" w:space="0"/>
          <w:bottom w:val="none" w:color="000000" w:sz="0" w:space="0"/>
          <w:right w:val="none" w:color="000000" w:sz="0" w:space="0"/>
          <w:between w:val="none" w:color="000000" w:sz="0" w:space="0"/>
        </w:pBdr>
        <w:spacing w:before="163" w:line="360" w:lineRule="auto"/>
        <w:jc w:val="both"/>
        <w:rPr>
          <w:rFonts w:ascii="黑体" w:hAnsi="黑体" w:eastAsia="黑体" w:cs="宋体"/>
          <w:sz w:val="21"/>
          <w:lang w:eastAsia="zh-CN"/>
        </w:rPr>
      </w:pPr>
      <w:r>
        <w:rPr>
          <w:rFonts w:ascii="黑体" w:hAnsi="黑体" w:eastAsia="黑体" w:cs="宋体"/>
          <w:sz w:val="21"/>
          <w:lang w:eastAsia="zh-CN"/>
        </w:rPr>
        <w:t>注：主要就业</w:t>
      </w:r>
      <w:r>
        <w:rPr>
          <w:rFonts w:hint="eastAsia" w:ascii="黑体" w:hAnsi="黑体" w:eastAsia="黑体" w:cs="宋体"/>
          <w:sz w:val="21"/>
          <w:lang w:eastAsia="zh-CN"/>
        </w:rPr>
        <w:t>地区</w:t>
      </w:r>
      <w:r>
        <w:rPr>
          <w:rFonts w:ascii="黑体" w:hAnsi="黑体" w:eastAsia="黑体" w:cs="宋体"/>
          <w:sz w:val="21"/>
          <w:lang w:eastAsia="zh-CN"/>
        </w:rPr>
        <w:t>指</w:t>
      </w:r>
      <w:r>
        <w:rPr>
          <w:rFonts w:hint="eastAsia" w:ascii="黑体" w:hAnsi="黑体" w:eastAsia="黑体" w:cs="宋体"/>
          <w:sz w:val="21"/>
          <w:lang w:eastAsia="zh-CN"/>
        </w:rPr>
        <w:t>就业</w:t>
      </w:r>
      <w:r>
        <w:rPr>
          <w:rFonts w:ascii="黑体" w:hAnsi="黑体" w:eastAsia="黑体" w:cs="宋体"/>
          <w:sz w:val="21"/>
          <w:lang w:eastAsia="zh-CN"/>
        </w:rPr>
        <w:t>人数≥</w:t>
      </w:r>
      <w:r>
        <w:rPr>
          <w:rFonts w:eastAsia="黑体" w:cs="宋体"/>
          <w:sz w:val="21"/>
          <w:lang w:eastAsia="zh-CN"/>
        </w:rPr>
        <w:t>15</w:t>
      </w:r>
      <w:r>
        <w:rPr>
          <w:rFonts w:ascii="黑体" w:hAnsi="黑体" w:eastAsia="黑体" w:cs="宋体"/>
          <w:sz w:val="21"/>
          <w:lang w:eastAsia="zh-CN"/>
        </w:rPr>
        <w:t>人</w:t>
      </w:r>
      <w:r>
        <w:rPr>
          <w:rFonts w:hint="eastAsia" w:ascii="黑体" w:hAnsi="黑体" w:eastAsia="黑体" w:cs="宋体"/>
          <w:sz w:val="21"/>
          <w:lang w:eastAsia="zh-CN"/>
        </w:rPr>
        <w:t>的</w:t>
      </w:r>
      <w:r>
        <w:rPr>
          <w:rFonts w:ascii="黑体" w:hAnsi="黑体" w:eastAsia="黑体" w:cs="宋体"/>
          <w:sz w:val="21"/>
          <w:lang w:eastAsia="zh-CN"/>
        </w:rPr>
        <w:t>地区。</w:t>
      </w:r>
    </w:p>
    <w:p>
      <w:pPr>
        <w:rPr>
          <w:snapToGrid/>
          <w:sz w:val="21"/>
          <w:lang w:eastAsia="zh-CN"/>
        </w:rPr>
      </w:pPr>
      <w:r>
        <w:rPr>
          <w:rFonts w:hint="eastAsia" w:ascii="仿宋" w:hAnsi="仿宋"/>
          <w:sz w:val="21"/>
          <w:lang w:eastAsia="zh-CN"/>
        </w:rPr>
        <w:t>数据来源：北京新锦成教育技术有限公司</w:t>
      </w:r>
    </w:p>
    <w:p>
      <w:pPr>
        <w:ind w:firstLine="640"/>
        <w:rPr>
          <w:lang w:val="zh-CN" w:eastAsia="zh-CN"/>
        </w:rPr>
      </w:pPr>
      <w:r>
        <w:rPr>
          <w:rFonts w:hint="eastAsia"/>
          <w:lang w:val="zh-CN" w:eastAsia="zh-CN"/>
        </w:rPr>
        <w:t>省内主要就业城市月均收入：在万宁市、琼海市就业的毕业生当前月均收入水平相对较高，为4308元、4256元；而在陵水黎族自治县就业的毕业生当前月均收入水平相对较低，为3280元。</w:t>
      </w:r>
    </w:p>
    <w:p>
      <w:pPr>
        <w:pBdr>
          <w:top w:val="none" w:color="000000" w:sz="0" w:space="0"/>
          <w:left w:val="none" w:color="000000" w:sz="0" w:space="0"/>
          <w:bottom w:val="none" w:color="000000" w:sz="0" w:space="0"/>
          <w:right w:val="none" w:color="000000" w:sz="0" w:space="0"/>
          <w:between w:val="none" w:color="000000" w:sz="0" w:space="0"/>
        </w:pBdr>
        <w:spacing w:before="163" w:after="120" w:line="360" w:lineRule="auto"/>
        <w:ind w:firstLine="480"/>
        <w:jc w:val="center"/>
        <w:rPr>
          <w:rFonts w:eastAsia="Calibri"/>
          <w:color w:val="auto"/>
          <w:sz w:val="21"/>
          <w:lang w:eastAsia="zh-CN"/>
        </w:rPr>
      </w:pPr>
      <w:r>
        <w:rPr>
          <w:rFonts w:ascii="Calibri" w:hAnsi="Calibri" w:eastAsia="Calibri" w:cs="宋体"/>
          <w:sz w:val="24"/>
          <w:lang w:eastAsia="zh-CN"/>
        </w:rPr>
        <w:drawing>
          <wp:inline distT="0" distB="0" distL="0" distR="0">
            <wp:extent cx="4476750" cy="2505075"/>
            <wp:effectExtent l="0" t="0" r="0" b="0"/>
            <wp:docPr id="543"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223" w:name="_Toc129867545"/>
      <w:r>
        <w:rPr>
          <w:rFonts w:hint="eastAsia" w:eastAsia="黑体"/>
          <w:b/>
          <w:sz w:val="21"/>
          <w:lang w:eastAsia="zh-CN"/>
        </w:rPr>
        <w:t>图4.27  2022届省内</w:t>
      </w:r>
      <w:r>
        <w:rPr>
          <w:rFonts w:eastAsia="黑体"/>
          <w:b/>
          <w:sz w:val="21"/>
          <w:lang w:eastAsia="zh-CN"/>
        </w:rPr>
        <w:t>主要就业城市</w:t>
      </w:r>
      <w:r>
        <w:rPr>
          <w:rFonts w:hint="eastAsia" w:eastAsia="黑体"/>
          <w:b/>
          <w:sz w:val="21"/>
          <w:lang w:eastAsia="zh-CN"/>
        </w:rPr>
        <w:t>毕业生月均收入</w:t>
      </w:r>
      <w:r>
        <w:rPr>
          <w:rFonts w:eastAsia="黑体"/>
          <w:b/>
          <w:sz w:val="21"/>
          <w:lang w:eastAsia="zh-CN"/>
        </w:rPr>
        <w:t>分布</w:t>
      </w:r>
      <w:r>
        <w:rPr>
          <w:rFonts w:hint="eastAsia" w:eastAsia="黑体"/>
          <w:b/>
          <w:sz w:val="21"/>
          <w:lang w:eastAsia="zh-CN"/>
        </w:rPr>
        <w:t>（单位</w:t>
      </w:r>
      <w:r>
        <w:rPr>
          <w:rFonts w:eastAsia="黑体"/>
          <w:b/>
          <w:sz w:val="21"/>
          <w:lang w:eastAsia="zh-CN"/>
        </w:rPr>
        <w:t>：</w:t>
      </w:r>
      <w:r>
        <w:rPr>
          <w:rFonts w:hint="eastAsia" w:eastAsia="黑体"/>
          <w:b/>
          <w:sz w:val="21"/>
          <w:lang w:eastAsia="zh-CN"/>
        </w:rPr>
        <w:t>元）</w:t>
      </w:r>
      <w:bookmarkEnd w:id="223"/>
      <w:r>
        <w:rPr>
          <w:rFonts w:hint="eastAsia" w:eastAsia="黑体"/>
          <w:b/>
          <w:sz w:val="21"/>
          <w:lang w:eastAsia="zh-CN"/>
        </w:rPr>
        <w:t xml:space="preserve"> </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Chars="0"/>
        <w:jc w:val="both"/>
        <w:textAlignment w:val="auto"/>
        <w:rPr>
          <w:rFonts w:ascii="黑体" w:hAnsi="黑体" w:eastAsia="黑体"/>
          <w:snapToGrid/>
          <w:sz w:val="21"/>
          <w:lang w:eastAsia="zh-CN"/>
        </w:rPr>
      </w:pPr>
      <w:r>
        <w:rPr>
          <w:rFonts w:ascii="黑体" w:hAnsi="黑体" w:eastAsia="黑体"/>
          <w:snapToGrid/>
          <w:sz w:val="21"/>
          <w:lang w:eastAsia="zh-CN"/>
        </w:rPr>
        <w:t>注：主要省内就业城市是指</w:t>
      </w:r>
      <w:r>
        <w:rPr>
          <w:rFonts w:hint="eastAsia" w:ascii="黑体" w:hAnsi="黑体" w:eastAsia="黑体"/>
          <w:snapToGrid/>
          <w:sz w:val="21"/>
          <w:lang w:eastAsia="zh-CN"/>
        </w:rPr>
        <w:t>就业</w:t>
      </w:r>
      <w:r>
        <w:rPr>
          <w:rFonts w:ascii="黑体" w:hAnsi="黑体" w:eastAsia="黑体"/>
          <w:snapToGrid/>
          <w:sz w:val="21"/>
          <w:lang w:eastAsia="zh-CN"/>
        </w:rPr>
        <w:t>人数≥</w:t>
      </w:r>
      <w:r>
        <w:rPr>
          <w:rFonts w:eastAsia="黑体"/>
          <w:snapToGrid/>
          <w:sz w:val="21"/>
          <w:lang w:eastAsia="zh-CN"/>
        </w:rPr>
        <w:t>15</w:t>
      </w:r>
      <w:r>
        <w:rPr>
          <w:rFonts w:ascii="黑体" w:hAnsi="黑体" w:eastAsia="黑体"/>
          <w:snapToGrid/>
          <w:sz w:val="21"/>
          <w:lang w:eastAsia="zh-CN"/>
        </w:rPr>
        <w:t>人</w:t>
      </w:r>
      <w:r>
        <w:rPr>
          <w:rFonts w:hint="eastAsia" w:ascii="黑体" w:hAnsi="黑体" w:eastAsia="黑体"/>
          <w:snapToGrid/>
          <w:sz w:val="21"/>
          <w:lang w:eastAsia="zh-CN"/>
        </w:rPr>
        <w:t>的城市</w:t>
      </w:r>
      <w:r>
        <w:rPr>
          <w:rFonts w:ascii="黑体" w:hAnsi="黑体" w:eastAsia="黑体"/>
          <w:snapToGrid/>
          <w:sz w:val="21"/>
          <w:lang w:eastAsia="zh-CN"/>
        </w:rPr>
        <w:t>。</w:t>
      </w:r>
    </w:p>
    <w:p>
      <w:pPr>
        <w:rPr>
          <w:snapToGrid/>
          <w:sz w:val="21"/>
          <w:lang w:eastAsia="zh-CN"/>
        </w:rPr>
      </w:pPr>
      <w:r>
        <w:rPr>
          <w:rFonts w:hint="eastAsia" w:ascii="仿宋" w:hAnsi="仿宋"/>
          <w:sz w:val="21"/>
          <w:lang w:eastAsia="zh-CN"/>
        </w:rPr>
        <w:t>数据来源：北京新锦成教育技术有限公司</w:t>
      </w:r>
    </w:p>
    <w:p>
      <w:pPr>
        <w:ind w:firstLine="640"/>
        <w:rPr>
          <w:lang w:eastAsia="zh-CN"/>
        </w:rPr>
      </w:pPr>
      <w:r>
        <w:rPr>
          <w:rFonts w:hint="eastAsia"/>
          <w:lang w:eastAsia="zh-CN"/>
        </w:rPr>
        <w:t>毕业生选择就业地的原因</w:t>
      </w:r>
      <w:r>
        <w:rPr>
          <w:lang w:eastAsia="zh-CN"/>
        </w:rPr>
        <w:t>：2022届</w:t>
      </w:r>
      <w:r>
        <w:rPr>
          <w:rFonts w:hint="eastAsia"/>
          <w:lang w:eastAsia="zh-CN"/>
        </w:rPr>
        <w:t>毕业生选择在就业地的原因主要是“在当地碰巧找到理想工作”，占比为32.23%；其次是“当地亲朋好友多”，占比为25.10%。</w:t>
      </w:r>
    </w:p>
    <w:p>
      <w:pPr>
        <w:pBdr>
          <w:top w:val="none" w:color="000000" w:sz="0" w:space="0"/>
          <w:left w:val="none" w:color="000000" w:sz="0" w:space="0"/>
          <w:bottom w:val="none" w:color="000000" w:sz="0" w:space="0"/>
          <w:right w:val="none" w:color="000000" w:sz="0" w:space="0"/>
          <w:between w:val="none" w:color="000000" w:sz="0" w:space="0"/>
        </w:pBdr>
        <w:ind w:firstLine="360"/>
        <w:rPr>
          <w:rFonts w:eastAsia="Calibri" w:cs="Calibri"/>
          <w:caps/>
          <w:sz w:val="18"/>
          <w:szCs w:val="20"/>
          <w:lang w:eastAsia="zh-CN"/>
        </w:rPr>
      </w:pPr>
      <w:r>
        <w:rPr>
          <w:rFonts w:eastAsia="Calibri" w:cs="Calibri"/>
          <w:caps/>
          <w:sz w:val="18"/>
          <w:szCs w:val="20"/>
          <w:lang w:eastAsia="zh-CN"/>
        </w:rPr>
        <w:drawing>
          <wp:anchor distT="0" distB="0" distL="114300" distR="114300" simplePos="0" relativeHeight="251668480" behindDoc="0" locked="0" layoutInCell="1" allowOverlap="1">
            <wp:simplePos x="0" y="0"/>
            <wp:positionH relativeFrom="column">
              <wp:posOffset>347980</wp:posOffset>
            </wp:positionH>
            <wp:positionV relativeFrom="paragraph">
              <wp:posOffset>92075</wp:posOffset>
            </wp:positionV>
            <wp:extent cx="5429250" cy="2574290"/>
            <wp:effectExtent l="0" t="0" r="0" b="0"/>
            <wp:wrapNone/>
            <wp:docPr id="544" name="图表 5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anchor>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224" w:name="_Toc129867546"/>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r>
        <w:rPr>
          <w:rFonts w:hint="eastAsia" w:eastAsia="黑体"/>
          <w:b/>
          <w:sz w:val="21"/>
          <w:lang w:eastAsia="zh-CN"/>
        </w:rPr>
        <w:t xml:space="preserve">图4.28  </w:t>
      </w:r>
      <w:r>
        <w:rPr>
          <w:rFonts w:eastAsia="黑体"/>
          <w:b/>
          <w:sz w:val="21"/>
          <w:lang w:eastAsia="zh-CN"/>
        </w:rPr>
        <w:t>2022届</w:t>
      </w:r>
      <w:r>
        <w:rPr>
          <w:rFonts w:hint="eastAsia" w:eastAsia="黑体"/>
          <w:b/>
          <w:sz w:val="21"/>
          <w:lang w:eastAsia="zh-CN"/>
        </w:rPr>
        <w:t>毕业生选择就业</w:t>
      </w:r>
      <w:r>
        <w:rPr>
          <w:rFonts w:eastAsia="黑体"/>
          <w:b/>
          <w:sz w:val="21"/>
          <w:lang w:eastAsia="zh-CN"/>
        </w:rPr>
        <w:t>地</w:t>
      </w:r>
      <w:r>
        <w:rPr>
          <w:rFonts w:hint="eastAsia" w:eastAsia="黑体"/>
          <w:b/>
          <w:sz w:val="21"/>
          <w:lang w:eastAsia="zh-CN"/>
        </w:rPr>
        <w:t>的原因分析</w:t>
      </w:r>
      <w:bookmarkEnd w:id="224"/>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Chars="0"/>
        <w:jc w:val="both"/>
        <w:textAlignment w:val="auto"/>
        <w:rPr>
          <w:rFonts w:ascii="黑体" w:hAnsi="黑体" w:eastAsia="黑体"/>
          <w:snapToGrid/>
          <w:sz w:val="21"/>
          <w:lang w:eastAsia="zh-CN"/>
        </w:rPr>
      </w:pPr>
      <w:r>
        <w:rPr>
          <w:rFonts w:ascii="黑体" w:hAnsi="黑体" w:eastAsia="黑体"/>
          <w:snapToGrid/>
          <w:sz w:val="21"/>
          <w:lang w:eastAsia="zh-CN"/>
        </w:rPr>
        <w:t>注：</w:t>
      </w:r>
      <w:r>
        <w:rPr>
          <w:rFonts w:hint="eastAsia" w:ascii="黑体" w:hAnsi="黑体" w:eastAsia="黑体"/>
          <w:snapToGrid/>
          <w:sz w:val="21"/>
          <w:lang w:eastAsia="zh-CN"/>
        </w:rPr>
        <w:t>该</w:t>
      </w:r>
      <w:r>
        <w:rPr>
          <w:rFonts w:ascii="黑体" w:hAnsi="黑体" w:eastAsia="黑体"/>
          <w:snapToGrid/>
          <w:sz w:val="21"/>
          <w:lang w:eastAsia="zh-CN"/>
        </w:rPr>
        <w:t>题目为多选题，</w:t>
      </w:r>
      <w:r>
        <w:rPr>
          <w:rFonts w:hint="eastAsia" w:ascii="黑体" w:hAnsi="黑体" w:eastAsia="黑体"/>
          <w:snapToGrid/>
          <w:sz w:val="21"/>
          <w:lang w:eastAsia="zh-CN"/>
        </w:rPr>
        <w:t>因此选项</w:t>
      </w:r>
      <w:r>
        <w:rPr>
          <w:rFonts w:ascii="黑体" w:hAnsi="黑体" w:eastAsia="黑体"/>
          <w:snapToGrid/>
          <w:sz w:val="21"/>
          <w:lang w:eastAsia="zh-CN"/>
        </w:rPr>
        <w:t>的</w:t>
      </w:r>
      <w:r>
        <w:rPr>
          <w:rFonts w:hint="eastAsia" w:ascii="黑体" w:hAnsi="黑体" w:eastAsia="黑体"/>
          <w:snapToGrid/>
          <w:sz w:val="21"/>
          <w:lang w:eastAsia="zh-CN"/>
        </w:rPr>
        <w:t>百分比之和</w:t>
      </w:r>
      <w:r>
        <w:rPr>
          <w:rFonts w:hint="eastAsia" w:eastAsia="黑体"/>
          <w:snapToGrid/>
          <w:sz w:val="21"/>
          <w:lang w:eastAsia="zh-CN"/>
        </w:rPr>
        <w:t>不是100.00%</w:t>
      </w:r>
      <w:r>
        <w:rPr>
          <w:rFonts w:ascii="黑体" w:hAnsi="黑体" w:eastAsia="黑体"/>
          <w:snapToGrid/>
          <w:sz w:val="21"/>
          <w:lang w:eastAsia="zh-CN"/>
        </w:rPr>
        <w:t>。</w:t>
      </w:r>
    </w:p>
    <w:p>
      <w:pPr>
        <w:rPr>
          <w:snapToGrid/>
          <w:sz w:val="21"/>
          <w:lang w:eastAsia="zh-CN"/>
        </w:rPr>
      </w:pPr>
      <w:r>
        <w:rPr>
          <w:rFonts w:hint="eastAsia" w:ascii="仿宋" w:hAnsi="仿宋"/>
          <w:sz w:val="21"/>
          <w:lang w:eastAsia="zh-CN"/>
        </w:rPr>
        <w:t>数据来源：北京新锦成教育技术有限公司</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Chars="0"/>
        <w:jc w:val="both"/>
        <w:textAlignment w:val="auto"/>
        <w:rPr>
          <w:rFonts w:ascii="黑体" w:hAnsi="黑体" w:eastAsia="黑体"/>
          <w:snapToGrid/>
          <w:sz w:val="21"/>
          <w:lang w:eastAsia="zh-CN"/>
        </w:rPr>
      </w:pPr>
      <w:r>
        <w:rPr>
          <w:rFonts w:ascii="黑体" w:hAnsi="黑体" w:eastAsia="黑体"/>
          <w:snapToGrid/>
          <w:sz w:val="21"/>
          <w:lang w:eastAsia="zh-CN"/>
        </w:rPr>
        <w:br w:type="page"/>
      </w:r>
    </w:p>
    <w:p>
      <w:pPr>
        <w:pStyle w:val="2"/>
        <w:ind w:firstLine="640"/>
        <w:rPr>
          <w:lang w:eastAsia="zh-CN"/>
        </w:rPr>
      </w:pPr>
      <w:bookmarkStart w:id="225" w:name="_Toc148372482"/>
      <w:bookmarkStart w:id="226" w:name="_Toc130307151"/>
      <w:bookmarkStart w:id="227" w:name="_Toc151887771"/>
      <w:r>
        <w:rPr>
          <w:rFonts w:hint="eastAsia"/>
          <w:lang w:eastAsia="zh-CN"/>
        </w:rPr>
        <w:t>二</w:t>
      </w:r>
      <w:r>
        <w:rPr>
          <w:lang w:eastAsia="zh-CN"/>
        </w:rPr>
        <w:t>、就业行业特色</w:t>
      </w:r>
      <w:bookmarkEnd w:id="225"/>
      <w:bookmarkEnd w:id="226"/>
      <w:bookmarkEnd w:id="227"/>
    </w:p>
    <w:p>
      <w:pPr>
        <w:ind w:firstLine="640"/>
        <w:rPr>
          <w:lang w:val="zh-CN" w:eastAsia="zh-CN"/>
        </w:rPr>
      </w:pPr>
      <w:r>
        <w:rPr>
          <w:rFonts w:hint="eastAsia"/>
          <w:lang w:val="zh-CN" w:eastAsia="zh-CN"/>
        </w:rPr>
        <w:t>总体</w:t>
      </w:r>
      <w:r>
        <w:rPr>
          <w:lang w:val="zh-CN" w:eastAsia="zh-CN"/>
        </w:rPr>
        <w:t>就业行业</w:t>
      </w:r>
      <w:r>
        <w:rPr>
          <w:rFonts w:hint="eastAsia"/>
          <w:lang w:eastAsia="zh-CN"/>
        </w:rPr>
        <w:t>：</w:t>
      </w:r>
      <w:r>
        <w:rPr>
          <w:rFonts w:hint="eastAsia"/>
          <w:lang w:val="zh-CN" w:eastAsia="zh-CN"/>
        </w:rPr>
        <w:t>本校</w:t>
      </w:r>
      <w:r>
        <w:rPr>
          <w:rFonts w:hint="eastAsia"/>
          <w:lang w:eastAsia="zh-CN"/>
        </w:rPr>
        <w:t>2022届毕业生</w:t>
      </w:r>
      <w:r>
        <w:rPr>
          <w:rFonts w:hint="eastAsia"/>
          <w:lang w:val="zh-CN" w:eastAsia="zh-CN"/>
        </w:rPr>
        <w:t>的就业行业以</w:t>
      </w:r>
      <w:r>
        <w:rPr>
          <w:rFonts w:hint="eastAsia"/>
          <w:lang w:eastAsia="zh-CN"/>
        </w:rPr>
        <w:t>“卫生和社会工作”（21.77%）</w:t>
      </w:r>
      <w:r>
        <w:rPr>
          <w:rFonts w:hint="eastAsia"/>
          <w:lang w:val="zh-CN" w:eastAsia="zh-CN"/>
        </w:rPr>
        <w:t>为主</w:t>
      </w:r>
      <w:r>
        <w:rPr>
          <w:rFonts w:hint="eastAsia"/>
          <w:lang w:eastAsia="zh-CN"/>
        </w:rPr>
        <w:t>，“制造业”（14.42%</w:t>
      </w:r>
      <w:r>
        <w:rPr>
          <w:lang w:eastAsia="zh-CN"/>
        </w:rPr>
        <w:t>）</w:t>
      </w:r>
      <w:r>
        <w:rPr>
          <w:rFonts w:hint="eastAsia"/>
          <w:lang w:val="zh-CN" w:eastAsia="zh-CN"/>
        </w:rPr>
        <w:t>、</w:t>
      </w:r>
      <w:r>
        <w:rPr>
          <w:rFonts w:hint="eastAsia"/>
          <w:lang w:eastAsia="zh-CN"/>
        </w:rPr>
        <w:t>“住宿和餐饮业”（9.39%</w:t>
      </w:r>
      <w:r>
        <w:rPr>
          <w:lang w:eastAsia="zh-CN"/>
        </w:rPr>
        <w:t>）</w:t>
      </w:r>
      <w:r>
        <w:rPr>
          <w:rFonts w:hint="eastAsia"/>
          <w:lang w:val="zh-CN" w:eastAsia="zh-CN"/>
        </w:rPr>
        <w:t>次之</w:t>
      </w:r>
      <w:r>
        <w:rPr>
          <w:lang w:val="zh-CN" w:eastAsia="zh-CN"/>
        </w:rPr>
        <w:t>。</w:t>
      </w:r>
    </w:p>
    <w:p>
      <w:pPr>
        <w:pBdr>
          <w:top w:val="none" w:color="000000" w:sz="0" w:space="0"/>
          <w:left w:val="none" w:color="000000" w:sz="0" w:space="0"/>
          <w:bottom w:val="none" w:color="000000" w:sz="0" w:space="0"/>
          <w:right w:val="none" w:color="000000" w:sz="0" w:space="0"/>
          <w:between w:val="none" w:color="000000" w:sz="0" w:space="0"/>
        </w:pBdr>
        <w:spacing w:line="360" w:lineRule="auto"/>
        <w:ind w:firstLine="480"/>
        <w:jc w:val="center"/>
        <w:rPr>
          <w:rFonts w:eastAsia="Calibri" w:cs="宋体"/>
          <w:sz w:val="24"/>
          <w:lang w:eastAsia="zh-CN"/>
        </w:rPr>
      </w:pPr>
      <w:r>
        <w:rPr>
          <w:rFonts w:eastAsia="Calibri" w:cs="宋体"/>
          <w:sz w:val="24"/>
          <w:lang w:eastAsia="zh-CN"/>
        </w:rPr>
        <w:drawing>
          <wp:inline distT="0" distB="0" distL="0" distR="0">
            <wp:extent cx="5018405" cy="2264410"/>
            <wp:effectExtent l="0" t="0" r="0" b="0"/>
            <wp:docPr id="545"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228" w:name="_Toc129867547"/>
      <w:r>
        <w:rPr>
          <w:rFonts w:hint="eastAsia" w:eastAsia="黑体"/>
          <w:b/>
          <w:sz w:val="21"/>
          <w:lang w:eastAsia="zh-CN"/>
        </w:rPr>
        <w:t>图4.29  2022届毕业生就业量最大</w:t>
      </w:r>
      <w:r>
        <w:rPr>
          <w:rFonts w:eastAsia="黑体"/>
          <w:b/>
          <w:sz w:val="21"/>
          <w:lang w:eastAsia="zh-CN"/>
        </w:rPr>
        <w:t>的前十</w:t>
      </w:r>
      <w:r>
        <w:rPr>
          <w:rFonts w:hint="eastAsia" w:eastAsia="黑体"/>
          <w:b/>
          <w:sz w:val="21"/>
          <w:lang w:eastAsia="zh-CN"/>
        </w:rPr>
        <w:t>位</w:t>
      </w:r>
      <w:r>
        <w:rPr>
          <w:rFonts w:eastAsia="黑体"/>
          <w:b/>
          <w:sz w:val="21"/>
          <w:lang w:eastAsia="zh-CN"/>
        </w:rPr>
        <w:t>行业分布</w:t>
      </w:r>
      <w:bookmarkEnd w:id="228"/>
      <w:r>
        <w:rPr>
          <w:rFonts w:hint="eastAsia" w:eastAsia="黑体"/>
          <w:b/>
          <w:sz w:val="21"/>
          <w:lang w:eastAsia="zh-CN"/>
        </w:rPr>
        <w:t xml:space="preserve"> </w:t>
      </w:r>
    </w:p>
    <w:p>
      <w:pPr>
        <w:rPr>
          <w:snapToGrid/>
          <w:sz w:val="21"/>
          <w:lang w:eastAsia="zh-CN"/>
        </w:rPr>
      </w:pPr>
      <w:r>
        <w:rPr>
          <w:rFonts w:hint="eastAsia" w:ascii="仿宋" w:hAnsi="仿宋"/>
          <w:sz w:val="21"/>
          <w:lang w:eastAsia="zh-CN"/>
        </w:rPr>
        <w:t>数据来源：北京新锦成教育技术有限公司</w:t>
      </w:r>
    </w:p>
    <w:p>
      <w:pPr>
        <w:pStyle w:val="3"/>
        <w:ind w:firstLine="643"/>
        <w:rPr>
          <w:lang w:eastAsia="zh-CN"/>
        </w:rPr>
      </w:pPr>
      <w:bookmarkStart w:id="229" w:name="_Toc151887772"/>
      <w:bookmarkStart w:id="230" w:name="_Toc148372483"/>
      <w:bookmarkStart w:id="231" w:name="_Toc130307152"/>
      <w:r>
        <w:rPr>
          <w:rFonts w:hint="eastAsia"/>
          <w:lang w:eastAsia="zh-CN"/>
        </w:rPr>
        <w:t>（一）</w:t>
      </w:r>
      <w:r>
        <w:rPr>
          <w:lang w:eastAsia="zh-CN"/>
        </w:rPr>
        <w:t>各</w:t>
      </w:r>
      <w:r>
        <w:rPr>
          <w:rFonts w:hint="eastAsia"/>
          <w:lang w:eastAsia="zh-CN"/>
        </w:rPr>
        <w:t>学院就业行业分布</w:t>
      </w:r>
      <w:bookmarkEnd w:id="229"/>
      <w:bookmarkEnd w:id="230"/>
      <w:bookmarkEnd w:id="231"/>
    </w:p>
    <w:p>
      <w:pPr>
        <w:ind w:firstLine="640"/>
        <w:rPr>
          <w:lang w:eastAsia="zh-CN"/>
        </w:rPr>
      </w:pPr>
      <w:r>
        <w:rPr>
          <w:rFonts w:hint="eastAsia"/>
          <w:lang w:eastAsia="zh-CN"/>
        </w:rPr>
        <w:t>各学院毕业生主要就业行业分布：如下表所示。</w:t>
      </w:r>
    </w:p>
    <w:p>
      <w:pPr>
        <w:widowControl w:val="0"/>
        <w:pBdr>
          <w:top w:val="none" w:color="000000" w:sz="0" w:space="0"/>
          <w:left w:val="none" w:color="000000" w:sz="0" w:space="0"/>
          <w:bottom w:val="none" w:color="000000" w:sz="0" w:space="0"/>
          <w:right w:val="none" w:color="000000" w:sz="0" w:space="0"/>
          <w:between w:val="none" w:color="000000" w:sz="0" w:space="0"/>
        </w:pBdr>
        <w:spacing w:line="360" w:lineRule="auto"/>
        <w:ind w:firstLine="422"/>
        <w:jc w:val="center"/>
        <w:rPr>
          <w:rFonts w:eastAsia="黑体"/>
          <w:b/>
          <w:sz w:val="21"/>
          <w:lang w:eastAsia="zh-CN"/>
        </w:rPr>
      </w:pPr>
      <w:r>
        <w:rPr>
          <w:rFonts w:hint="eastAsia" w:eastAsia="黑体"/>
          <w:b/>
          <w:sz w:val="21"/>
          <w:lang w:eastAsia="zh-CN"/>
        </w:rPr>
        <w:t>表4.</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表2-2-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17</w:t>
      </w:r>
      <w:r>
        <w:rPr>
          <w:rFonts w:eastAsia="黑体"/>
          <w:b/>
          <w:sz w:val="21"/>
          <w:lang w:eastAsia="zh-CN"/>
        </w:rPr>
        <w:fldChar w:fldCharType="end"/>
      </w:r>
      <w:r>
        <w:rPr>
          <w:rFonts w:eastAsia="黑体"/>
          <w:b/>
          <w:sz w:val="21"/>
          <w:lang w:eastAsia="zh-CN"/>
        </w:rPr>
        <w:t xml:space="preserve">  </w:t>
      </w:r>
      <w:r>
        <w:rPr>
          <w:rFonts w:hint="eastAsia" w:eastAsia="黑体"/>
          <w:b/>
          <w:sz w:val="21"/>
          <w:lang w:eastAsia="zh-CN"/>
        </w:rPr>
        <w:t>2022届各学院毕业生主要就业行业分布</w:t>
      </w:r>
    </w:p>
    <w:tbl>
      <w:tblPr>
        <w:tblStyle w:val="37"/>
        <w:tblW w:w="5000" w:type="pct"/>
        <w:jc w:val="cente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1925"/>
        <w:gridCol w:w="8037"/>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jc w:val="center"/>
        </w:trPr>
        <w:tc>
          <w:tcPr>
            <w:tcW w:w="966" w:type="pct"/>
            <w:tcBorders>
              <w:top w:val="single" w:color="0F6FC6" w:sz="4" w:space="0"/>
              <w:left w:val="single" w:color="0F6FC6" w:sz="4" w:space="0"/>
              <w:bottom w:val="single" w:color="0F6FC6" w:sz="4" w:space="0"/>
              <w:right w:val="nil"/>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cs="微软雅黑"/>
                <w:b/>
                <w:bCs/>
                <w:snapToGrid/>
                <w:color w:val="CCE8CF"/>
                <w:sz w:val="21"/>
                <w:lang w:eastAsia="zh-CN"/>
              </w:rPr>
              <w:t>学院</w:t>
            </w:r>
          </w:p>
        </w:tc>
        <w:tc>
          <w:tcPr>
            <w:tcW w:w="4034" w:type="pct"/>
            <w:tcBorders>
              <w:top w:val="single" w:color="0F6FC6" w:sz="4" w:space="0"/>
              <w:bottom w:val="single" w:color="0F6FC6" w:sz="4" w:space="0"/>
              <w:right w:val="single" w:color="0F6FC6"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cs="微软雅黑"/>
                <w:b/>
                <w:bCs/>
                <w:snapToGrid/>
                <w:color w:val="CCE8CF"/>
                <w:sz w:val="21"/>
                <w:lang w:eastAsia="zh-CN"/>
              </w:rPr>
              <w:t>主要就业行业前十分布</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国际护理学院</w:t>
            </w:r>
          </w:p>
        </w:tc>
        <w:tc>
          <w:tcPr>
            <w:tcW w:w="4034"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Calibri"/>
                <w:snapToGrid/>
                <w:sz w:val="21"/>
                <w:lang w:eastAsia="zh-CN"/>
              </w:rPr>
            </w:pPr>
            <w:r>
              <w:rPr>
                <w:rFonts w:hint="eastAsia" w:eastAsia="宋体"/>
                <w:snapToGrid/>
                <w:sz w:val="21"/>
                <w:lang w:eastAsia="zh-CN"/>
              </w:rPr>
              <w:t>卫生和社会工作（78.67%）、批发和零售业（3.33%）、教育（3.33%）、制造业（2.67%）、居民服务、修理和其他服务业（2.67%）、交通运输、仓储和邮政业（1.33%）、住宿和餐饮业（1.33%）、信息传输、软件和信息技术服务业（1.33%）、租赁和商务服务业（1.33%）、公共管理、社会保障和社会组织（0.67%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健康科学学院</w:t>
            </w:r>
          </w:p>
        </w:tc>
        <w:tc>
          <w:tcPr>
            <w:tcW w:w="4034"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Calibri"/>
                <w:snapToGrid/>
                <w:sz w:val="21"/>
                <w:lang w:eastAsia="zh-CN"/>
              </w:rPr>
            </w:pPr>
            <w:r>
              <w:rPr>
                <w:rFonts w:hint="eastAsia" w:eastAsia="宋体"/>
                <w:snapToGrid/>
                <w:sz w:val="21"/>
                <w:lang w:eastAsia="zh-CN"/>
              </w:rPr>
              <w:t>卫生和社会工作（60.61%）、居民服务、修理和其他服务业（12.12%）、住宿和餐饮业（6.06%）、信息传输、软件和信息技术服务业（6.06%）、制造业（6.06%）、公共管理、社会保障和社会组织（3.03%）、农、林、牧、渔业（3.03%）、教育（3.03%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城建学院</w:t>
            </w:r>
          </w:p>
        </w:tc>
        <w:tc>
          <w:tcPr>
            <w:tcW w:w="4034"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Calibri"/>
                <w:snapToGrid/>
                <w:sz w:val="21"/>
                <w:lang w:eastAsia="zh-CN"/>
              </w:rPr>
            </w:pPr>
            <w:r>
              <w:rPr>
                <w:rFonts w:hint="eastAsia" w:eastAsia="宋体"/>
                <w:snapToGrid/>
                <w:sz w:val="21"/>
                <w:lang w:eastAsia="zh-CN"/>
              </w:rPr>
              <w:t>建筑业（56.72%）、住宿和餐饮业（5.97%）、军队（5.97%）、制造业（4.48%）、居民服务、修理和其他服务业（4.48%）、房地产业（4.48%）、批发和零售业（2.99%）、文化、体育和娱乐业（2.99%）、电力、热力、燃气及水生产和供应业（2.99%）、金融业（2.99%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化学与材料工程学院</w:t>
            </w:r>
          </w:p>
        </w:tc>
        <w:tc>
          <w:tcPr>
            <w:tcW w:w="4034"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Calibri"/>
                <w:snapToGrid/>
                <w:sz w:val="21"/>
                <w:lang w:eastAsia="zh-CN"/>
              </w:rPr>
            </w:pPr>
            <w:r>
              <w:rPr>
                <w:rFonts w:hint="eastAsia" w:eastAsia="宋体"/>
                <w:snapToGrid/>
                <w:sz w:val="21"/>
                <w:lang w:eastAsia="zh-CN"/>
              </w:rPr>
              <w:t>制造业（47.54%）、住宿和餐饮业（29.51%）、批发和零售业（4.92%）、居民服务、修理和其他服务业（3.28%）、科学研究和技术服务业（3.28%）、金融业（3.28%）、信息传输、软件和信息技术服务业（1.64%）、卫生和社会工作（1.64%）、文化、体育和娱乐业（1.64%）、房地产业（1.64%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临床医药学院</w:t>
            </w:r>
          </w:p>
        </w:tc>
        <w:tc>
          <w:tcPr>
            <w:tcW w:w="4034"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Calibri"/>
                <w:snapToGrid/>
                <w:sz w:val="21"/>
                <w:lang w:eastAsia="zh-CN"/>
              </w:rPr>
            </w:pPr>
            <w:r>
              <w:rPr>
                <w:rFonts w:hint="eastAsia" w:eastAsia="宋体"/>
                <w:snapToGrid/>
                <w:sz w:val="21"/>
                <w:lang w:eastAsia="zh-CN"/>
              </w:rPr>
              <w:t>制造业（29.00%）、卫生和社会工作（13.00%）、教育（12.00%）、交通运输、仓储和邮政业（8.00%）、租赁和商务服务业（8.00%）、金融业（8.00%）、批发和零售业（3.00%）、科学研究和技术服务业（3.00%）、住宿和餐饮业（2.00%）、公共管理、社会保障和社会组织（2.00%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传媒与音乐学院</w:t>
            </w:r>
          </w:p>
        </w:tc>
        <w:tc>
          <w:tcPr>
            <w:tcW w:w="4034"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Calibri"/>
                <w:snapToGrid/>
                <w:sz w:val="21"/>
                <w:lang w:eastAsia="zh-CN"/>
              </w:rPr>
            </w:pPr>
            <w:r>
              <w:rPr>
                <w:rFonts w:hint="eastAsia" w:eastAsia="宋体"/>
                <w:snapToGrid/>
                <w:sz w:val="21"/>
                <w:lang w:eastAsia="zh-CN"/>
              </w:rPr>
              <w:t>交通运输、仓储和邮政业（28.57%）、教育（28.57%）、建筑业（14.29%）、军队（14.29%）、电力、热力、燃气及水生产和供应业（14.29%）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机电工程学院</w:t>
            </w:r>
          </w:p>
        </w:tc>
        <w:tc>
          <w:tcPr>
            <w:tcW w:w="4034"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Calibri"/>
                <w:snapToGrid/>
                <w:sz w:val="21"/>
                <w:lang w:eastAsia="zh-CN"/>
              </w:rPr>
            </w:pPr>
            <w:r>
              <w:rPr>
                <w:rFonts w:hint="eastAsia" w:eastAsia="宋体"/>
                <w:snapToGrid/>
                <w:sz w:val="21"/>
                <w:lang w:eastAsia="zh-CN"/>
              </w:rPr>
              <w:t>制造业（26.09%）、居民服务、修理和其他服务业（10.87%）、交通运输、仓储和邮政业（7.61%）、批发和零售业（6.52%）、教育（6.52%）、电力、热力、燃气及水生产和供应业（6.52%）、住宿和餐饮业（5.43%）、科学研究和技术服务业（5.43%）、建筑业（4.35%）、租赁和商务服务业（4.35%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海事学院</w:t>
            </w:r>
          </w:p>
        </w:tc>
        <w:tc>
          <w:tcPr>
            <w:tcW w:w="4034"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Calibri"/>
                <w:snapToGrid/>
                <w:sz w:val="21"/>
                <w:lang w:eastAsia="zh-CN"/>
              </w:rPr>
            </w:pPr>
            <w:r>
              <w:rPr>
                <w:rFonts w:hint="eastAsia" w:eastAsia="宋体"/>
                <w:snapToGrid/>
                <w:sz w:val="21"/>
                <w:lang w:eastAsia="zh-CN"/>
              </w:rPr>
              <w:t>交通运输、仓储和邮政业（25.93%）、住宿和餐饮业（14.81%）、农、林、牧、渔业（14.81%）、信息传输、软件和信息技术服务业（7.41%）、批发和零售业（7.41%）、教育（7.41%）、公共管理、社会保障和社会组织（3.70%）、居民服务、修理和其他服务业（3.70%）、军队（3.70%）、房地产业（3.70%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财经学院</w:t>
            </w:r>
          </w:p>
        </w:tc>
        <w:tc>
          <w:tcPr>
            <w:tcW w:w="4034"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Calibri"/>
                <w:snapToGrid/>
                <w:sz w:val="21"/>
                <w:lang w:eastAsia="zh-CN"/>
              </w:rPr>
            </w:pPr>
            <w:r>
              <w:rPr>
                <w:rFonts w:hint="eastAsia" w:eastAsia="宋体"/>
                <w:snapToGrid/>
                <w:sz w:val="21"/>
                <w:lang w:eastAsia="zh-CN"/>
              </w:rPr>
              <w:t>住宿和餐饮业（20.31%）、金融业（17.19%）、居民服务、修理和其他服务业（10.94%）、批发和零售业（8.59%）、租赁和商务服务业（8.59%）、制造业（5.47%）、教育（5.47%）、交通运输、仓储和邮政业（4.69%）、信息传输、软件和信息技术服务业（3.13%）、文化、体育和娱乐业（3.13%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信息工程学院</w:t>
            </w:r>
          </w:p>
        </w:tc>
        <w:tc>
          <w:tcPr>
            <w:tcW w:w="4034"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Calibri"/>
                <w:snapToGrid/>
                <w:sz w:val="21"/>
                <w:lang w:eastAsia="zh-CN"/>
              </w:rPr>
            </w:pPr>
            <w:r>
              <w:rPr>
                <w:rFonts w:hint="eastAsia" w:eastAsia="宋体"/>
                <w:snapToGrid/>
                <w:sz w:val="21"/>
                <w:lang w:eastAsia="zh-CN"/>
              </w:rPr>
              <w:t>信息传输、软件和信息技术服务业（16.22%）、制造业（13.51%）、居民服务、修理和其他服务业（10.81%）、住宿和餐饮业（8.11%）、文化、体育和娱乐业（8.11%）、交通运输、仓储和邮政业（5.41%）、公共管理、社会保障和社会组织（5.41%）、农、林、牧、渔业（5.41%）、批发和零售业（5.41%）、军队（5.41%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设计学院</w:t>
            </w:r>
          </w:p>
        </w:tc>
        <w:tc>
          <w:tcPr>
            <w:tcW w:w="4034"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Calibri"/>
                <w:snapToGrid/>
                <w:sz w:val="21"/>
                <w:lang w:eastAsia="zh-CN"/>
              </w:rPr>
            </w:pPr>
            <w:r>
              <w:rPr>
                <w:rFonts w:hint="eastAsia" w:eastAsia="宋体"/>
                <w:snapToGrid/>
                <w:sz w:val="21"/>
                <w:lang w:eastAsia="zh-CN"/>
              </w:rPr>
              <w:t>建筑业（12.12%）、文化、体育和娱乐业（12.12%）、住宿和餐饮业（9.09%）、信息传输、软件和信息技术服务业（9.09%）、公共管理、社会保障和社会组织（9.09%）、制造业（9.09%）、农、林、牧、渔业（6.06%）、科学研究和技术服务业（6.06%）、租赁和商务服务业（6.06%）、房地产业（6.06%）</w:t>
            </w:r>
          </w:p>
        </w:tc>
      </w:tr>
    </w:tbl>
    <w:p>
      <w:pPr>
        <w:rPr>
          <w:snapToGrid/>
          <w:sz w:val="21"/>
          <w:lang w:eastAsia="zh-CN"/>
        </w:rPr>
      </w:pPr>
      <w:bookmarkStart w:id="232" w:name="_Toc130307153"/>
      <w:bookmarkStart w:id="233" w:name="_Toc148372484"/>
      <w:r>
        <w:rPr>
          <w:rFonts w:hint="eastAsia" w:ascii="仿宋" w:hAnsi="仿宋"/>
          <w:sz w:val="21"/>
          <w:lang w:eastAsia="zh-CN"/>
        </w:rPr>
        <w:t>数据来源：北京新锦成教育技术有限公司</w:t>
      </w:r>
    </w:p>
    <w:p>
      <w:pPr>
        <w:pStyle w:val="3"/>
        <w:ind w:firstLine="643"/>
        <w:rPr>
          <w:lang w:eastAsia="zh-CN"/>
        </w:rPr>
      </w:pPr>
      <w:bookmarkStart w:id="234" w:name="_Toc151887773"/>
      <w:r>
        <w:rPr>
          <w:rFonts w:hint="eastAsia"/>
          <w:lang w:eastAsia="zh-CN"/>
        </w:rPr>
        <w:t>（二）</w:t>
      </w:r>
      <w:r>
        <w:rPr>
          <w:lang w:eastAsia="zh-CN"/>
        </w:rPr>
        <w:t>各</w:t>
      </w:r>
      <w:r>
        <w:rPr>
          <w:rFonts w:hint="eastAsia"/>
          <w:lang w:eastAsia="zh-CN"/>
        </w:rPr>
        <w:t>专业就业行业分布</w:t>
      </w:r>
      <w:bookmarkEnd w:id="232"/>
      <w:bookmarkEnd w:id="233"/>
      <w:bookmarkEnd w:id="234"/>
    </w:p>
    <w:p>
      <w:pPr>
        <w:widowControl w:val="0"/>
        <w:pBdr>
          <w:top w:val="none" w:color="000000" w:sz="0" w:space="0"/>
          <w:left w:val="none" w:color="000000" w:sz="0" w:space="0"/>
          <w:bottom w:val="none" w:color="000000" w:sz="0" w:space="0"/>
          <w:right w:val="none" w:color="000000" w:sz="0" w:space="0"/>
          <w:between w:val="none" w:color="000000" w:sz="0" w:space="0"/>
        </w:pBdr>
        <w:spacing w:before="240" w:beforeLines="100" w:line="360" w:lineRule="auto"/>
        <w:ind w:firstLine="422"/>
        <w:jc w:val="center"/>
        <w:rPr>
          <w:rFonts w:eastAsia="黑体"/>
          <w:b/>
          <w:sz w:val="21"/>
          <w:lang w:eastAsia="zh-CN"/>
        </w:rPr>
      </w:pPr>
      <w:r>
        <w:rPr>
          <w:rFonts w:hint="eastAsia" w:eastAsia="黑体"/>
          <w:b/>
          <w:sz w:val="21"/>
          <w:lang w:eastAsia="zh-CN"/>
        </w:rPr>
        <w:t>表4.</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表2-2-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18</w:t>
      </w:r>
      <w:r>
        <w:rPr>
          <w:rFonts w:eastAsia="黑体"/>
          <w:b/>
          <w:sz w:val="21"/>
          <w:lang w:eastAsia="zh-CN"/>
        </w:rPr>
        <w:fldChar w:fldCharType="end"/>
      </w:r>
      <w:r>
        <w:rPr>
          <w:rFonts w:eastAsia="黑体"/>
          <w:b/>
          <w:sz w:val="21"/>
          <w:lang w:eastAsia="zh-CN"/>
        </w:rPr>
        <w:t xml:space="preserve">  </w:t>
      </w:r>
      <w:r>
        <w:rPr>
          <w:rFonts w:hint="eastAsia" w:eastAsia="黑体"/>
          <w:b/>
          <w:sz w:val="21"/>
          <w:lang w:eastAsia="zh-CN"/>
        </w:rPr>
        <w:t>2022届各专业毕业生主要就业行业分布</w:t>
      </w:r>
    </w:p>
    <w:tbl>
      <w:tblPr>
        <w:tblStyle w:val="37"/>
        <w:tblW w:w="5000" w:type="pct"/>
        <w:jc w:val="cente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1925"/>
        <w:gridCol w:w="8037"/>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jc w:val="center"/>
        </w:trPr>
        <w:tc>
          <w:tcPr>
            <w:tcW w:w="966" w:type="pct"/>
            <w:tcBorders>
              <w:top w:val="single" w:color="0F6FC6" w:sz="4" w:space="0"/>
              <w:left w:val="single" w:color="0F6FC6" w:sz="4" w:space="0"/>
              <w:bottom w:val="single" w:color="0F6FC6" w:sz="4" w:space="0"/>
              <w:right w:val="nil"/>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cs="微软雅黑"/>
                <w:b/>
                <w:bCs/>
                <w:snapToGrid/>
                <w:color w:val="CCE8CF"/>
                <w:sz w:val="21"/>
                <w:lang w:eastAsia="zh-CN"/>
              </w:rPr>
              <w:t>专业</w:t>
            </w:r>
          </w:p>
        </w:tc>
        <w:tc>
          <w:tcPr>
            <w:tcW w:w="4034" w:type="pct"/>
            <w:tcBorders>
              <w:top w:val="single" w:color="0F6FC6" w:sz="4" w:space="0"/>
              <w:bottom w:val="single" w:color="0F6FC6" w:sz="4" w:space="0"/>
              <w:right w:val="single" w:color="0F6FC6"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cs="微软雅黑"/>
                <w:b/>
                <w:bCs/>
                <w:snapToGrid/>
                <w:color w:val="CCE8CF"/>
                <w:sz w:val="21"/>
                <w:lang w:eastAsia="zh-CN"/>
              </w:rPr>
              <w:t>主要就业行业前十分布</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石油化工技术</w:t>
            </w:r>
          </w:p>
        </w:tc>
        <w:tc>
          <w:tcPr>
            <w:tcW w:w="4034"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制造业（100.00%）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护理</w:t>
            </w:r>
          </w:p>
        </w:tc>
        <w:tc>
          <w:tcPr>
            <w:tcW w:w="4034"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卫生和社会工作（77.46%）、批发和零售业（3.52%）、教育（3.52%）、制造业（2.82%）、居民服务、修理和其他服务业（2.82%）、交通运输、仓储和邮政业（1.41%）、信息传输、软件和信息技术服务业（1.41%）、租赁和商务服务业（1.41%）、住宿和餐饮业（1.41%）、公共管理、社会保障和社会组织（0.70%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烹调工艺与营养</w:t>
            </w:r>
          </w:p>
        </w:tc>
        <w:tc>
          <w:tcPr>
            <w:tcW w:w="4034"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住宿和餐饮业（75.00%）、教育（16.67%）、居民服务、修理和其他服务业（8.33%）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社区康复</w:t>
            </w:r>
          </w:p>
        </w:tc>
        <w:tc>
          <w:tcPr>
            <w:tcW w:w="4034"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卫生和社会工作（71.43%）、信息传输、软件和信息技术服务业（7.14%）、公共管理、社会保障和社会组织（7.14%）、农、林、牧、渔业（7.14%）、居民服务、修理和其他服务业（7.14%）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药品生产技术</w:t>
            </w:r>
          </w:p>
        </w:tc>
        <w:tc>
          <w:tcPr>
            <w:tcW w:w="4034"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制造业（68.42%）、批发和零售业（15.79%）、科学研究和技术服务业（5.26%）、金融业（5.26%）、住宿和餐饮业（5.26%）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金融管理</w:t>
            </w:r>
          </w:p>
        </w:tc>
        <w:tc>
          <w:tcPr>
            <w:tcW w:w="4034"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金融业（66.67%）、居民服务、修理和其他服务业（25.00%）、住宿和餐饮业（8.33%）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建筑工程技术</w:t>
            </w:r>
          </w:p>
        </w:tc>
        <w:tc>
          <w:tcPr>
            <w:tcW w:w="4034"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建筑业（61.54%）、军队（7.69%）、房地产业（7.69%）、住宿和餐饮业（7.69%）、公共管理、社会保障和社会组织（3.85%）、批发和零售业（3.85%）、电力、热力、燃气及水生产和供应业（3.85%）、居民服务、修理和其他服务业（3.85%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工程造价</w:t>
            </w:r>
          </w:p>
        </w:tc>
        <w:tc>
          <w:tcPr>
            <w:tcW w:w="4034"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建筑业（60.71%）、制造业（7.14%）、信息传输、软件和信息技术服务业（3.57%）、军队（3.57%）、农、林、牧、渔业（3.57%）、房地产业（3.57%）、批发和零售业（3.57%）、电力、热力、燃气及水生产和供应业（3.57%）、金融业（3.57%）、居民服务、修理和其他服务业（3.57%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食品营养与检测</w:t>
            </w:r>
          </w:p>
        </w:tc>
        <w:tc>
          <w:tcPr>
            <w:tcW w:w="4034"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住宿和餐饮业（60.71%）、制造业（7.14%）、居民服务、修理和其他服务业（7.14%）、信息传输、软件和信息技术服务业（3.57%）、卫生和社会工作（3.57%）、房地产业（3.57%）、水利、环境和公共设施管理业（3.57%）、科学研究和技术服务业（3.57%）、金融业（3.57%）、文化、体育和娱乐业（3.57%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健康管理</w:t>
            </w:r>
          </w:p>
        </w:tc>
        <w:tc>
          <w:tcPr>
            <w:tcW w:w="4034"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卫生和社会工作（52.63%）、居民服务、修理和其他服务业（15.79%）、制造业（10.53%）、住宿和餐饮业（10.53%）、信息传输、软件和信息技术服务业（5.26%）、教育（5.26%）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中药学</w:t>
            </w:r>
          </w:p>
        </w:tc>
        <w:tc>
          <w:tcPr>
            <w:tcW w:w="4034"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制造业（47.06%）、卫生和社会工作（14.71%）、金融业（11.76%）、交通运输、仓储和邮政业（5.88%）、住宿和餐饮业（5.88%）、公共管理、社会保障和社会组织（2.94%）、农、林、牧、渔业（2.94%）、批发和零售业（2.94%）、教育（2.94%）、租赁和商务服务业（2.94%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电气自动化技术</w:t>
            </w:r>
          </w:p>
        </w:tc>
        <w:tc>
          <w:tcPr>
            <w:tcW w:w="4034"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电力、热力、燃气及水生产和供应业（40.00%）、制造业（30.00%）、租赁和商务服务业（10.00%）、金融业（10.00%）、住宿和餐饮业（10.00%）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建筑设计</w:t>
            </w:r>
          </w:p>
        </w:tc>
        <w:tc>
          <w:tcPr>
            <w:tcW w:w="4034"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建筑业（40.00%）、住宿和餐饮业（20.00%）、制造业（10.00%）、军队（10.00%）、金融业（10.00%）、文化、体育和娱乐业（10.00%）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机械设计与制造（中高职转段）</w:t>
            </w:r>
          </w:p>
        </w:tc>
        <w:tc>
          <w:tcPr>
            <w:tcW w:w="4034"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制造业（37.50%）、信息传输、软件和信息技术服务业（12.50%）、农、林、牧、渔业（12.50%）、电力、热力、燃气及水生产和供应业（12.50%）、住宿和餐饮业（12.50%）、居民服务、修理和其他服务业（12.50%）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航海技术</w:t>
            </w:r>
          </w:p>
        </w:tc>
        <w:tc>
          <w:tcPr>
            <w:tcW w:w="4034"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交通运输、仓储和邮政业（35.71%）、农、林、牧、渔业（28.57%）、信息传输、软件和信息技术服务业（7.14%）、房地产业（7.14%）、金融业（7.14%）、住宿和餐饮业（7.14%）、采矿业（7.14%）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环境艺术设计</w:t>
            </w:r>
          </w:p>
        </w:tc>
        <w:tc>
          <w:tcPr>
            <w:tcW w:w="4034"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建筑业（33.33%）、制造业（16.67%）、卫生和社会工作（8.33%）、房地产业（8.33%）、批发和零售业（8.33%）、科学研究和技术服务业（8.33%）、住宿和餐饮业（8.33%）、文化、体育和娱乐业（8.33%）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新能源汽车技术</w:t>
            </w:r>
          </w:p>
        </w:tc>
        <w:tc>
          <w:tcPr>
            <w:tcW w:w="4034"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制造业（30.56%）、批发和零售业（16.67%）、教育（11.11%）、住宿和餐饮业（8.33%）、居民服务、修理和其他服务业（8.33%）、水利、环境和公共设施管理业（5.56%）、科学研究和技术服务业（5.56%）、农、林、牧、渔业（2.78%）、建筑业（2.78%）、房地产业（2.78%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机电一体化技术</w:t>
            </w:r>
          </w:p>
        </w:tc>
        <w:tc>
          <w:tcPr>
            <w:tcW w:w="4034"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制造业（28.57%）、居民服务、修理和其他服务业（28.57%）、交通运输、仓储和邮政业（14.29%）、建筑业（14.29%）、租赁和商务服务业（14.29%）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音乐表演</w:t>
            </w:r>
          </w:p>
        </w:tc>
        <w:tc>
          <w:tcPr>
            <w:tcW w:w="4034"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交通运输、仓储和邮政业（28.57%）、教育（28.57%）、军队（14.29%）、建筑业（14.29%）、电力、热力、燃气及水生产和供应业（14.29%）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物流管理</w:t>
            </w:r>
          </w:p>
        </w:tc>
        <w:tc>
          <w:tcPr>
            <w:tcW w:w="4034"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交通运输、仓储和邮政业（25.00%）、批发和零售业（25.00%）、住宿和餐饮业（18.75%）、制造业（12.50%）、农、林、牧、渔业（6.25%）、电力、热力、燃气及水生产和供应业（6.25%）、居民服务、修理和其他服务业（6.25%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风景园林设计</w:t>
            </w:r>
          </w:p>
        </w:tc>
        <w:tc>
          <w:tcPr>
            <w:tcW w:w="4034"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信息传输、软件和信息技术服务业（25.00%）、公共管理、社会保障和社会组织（25.00%）、农、林、牧、渔业（25.00%）、科学研究和技术服务业（25.00%）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计算机网络技术</w:t>
            </w:r>
          </w:p>
        </w:tc>
        <w:tc>
          <w:tcPr>
            <w:tcW w:w="4034"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信息传输、软件和信息技术服务业（25.00%）、制造业（16.67%）、住宿和餐饮业（16.67%）、居民服务、修理和其他服务业（16.67%）、农、林、牧、渔业（8.33%）、卫生和社会工作（8.33%）、教育（8.33%）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汽车检测与维修技术</w:t>
            </w:r>
          </w:p>
        </w:tc>
        <w:tc>
          <w:tcPr>
            <w:tcW w:w="4034"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交通运输、仓储和邮政业（23.81%）、居民服务、修理和其他服务业（19.05%）、制造业（14.29%）、卫生和社会工作（14.29%）、军队（4.76%）、农、林、牧、渔业（4.76%）、教育（4.76%）、科学研究和技术服务业（4.76%）、租赁和商务服务业（4.76%）、文化、体育和娱乐业（4.76%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软件技术</w:t>
            </w:r>
          </w:p>
        </w:tc>
        <w:tc>
          <w:tcPr>
            <w:tcW w:w="4034"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文化、体育和娱乐业（23.08%）、交通运输、仓储和邮政业（15.38%）、信息传输、软件和信息技术服务业（15.38%）、居民服务、修理和其他服务业（15.38%）、制造业（7.69%）、批发和零售业（7.69%）、科学研究和技术服务业（7.69%）、住宿和餐饮业（7.69%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旅游管理</w:t>
            </w:r>
          </w:p>
        </w:tc>
        <w:tc>
          <w:tcPr>
            <w:tcW w:w="4034"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住宿和餐饮业（22.22%）、交通运输、仓储和邮政业（11.11%）、信息传输、软件和信息技术服务业（11.11%）、房地产业（11.11%）、教育（11.11%）、租赁和商务服务业（11.11%）、金融业（11.11%）、文化、体育和娱乐业（11.11%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会计</w:t>
            </w:r>
          </w:p>
        </w:tc>
        <w:tc>
          <w:tcPr>
            <w:tcW w:w="4034"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金融业（20.00%）、租赁和商务服务业（13.33%）、批发和零售业（11.11%）、住宿和餐饮业（11.11%）、居民服务、修理和其他服务业（8.89%）、制造业（4.44%）、信息传输、软件和信息技术服务业（4.44%）、卫生和社会工作（4.44%）、建筑业（4.44%）、教育（4.44%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口腔医学技术</w:t>
            </w:r>
          </w:p>
        </w:tc>
        <w:tc>
          <w:tcPr>
            <w:tcW w:w="4034"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制造业（19.70%）、教育（16.67%）、卫生和社会工作（12.12%）、租赁和商务服务业（10.61%）、交通运输、仓储和邮政业（9.09%）、金融业（6.06%）、科学研究和技术服务业（4.55%）、军队（3.03%）、房地产业（3.03%）、批发和零售业（3.03%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市场营销</w:t>
            </w:r>
          </w:p>
        </w:tc>
        <w:tc>
          <w:tcPr>
            <w:tcW w:w="4034"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批发和零售业（16.67%）、金融业（16.67%）、居民服务、修理和其他服务业（16.67%）、制造业（8.33%）、信息传输、软件和信息技术服务业（8.33%）、公共管理、社会保障和社会组织（8.33%）、军队（8.33%）、租赁和商务服务业（8.33%）、住宿和餐饮业（8.33%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工商企业管理</w:t>
            </w:r>
          </w:p>
        </w:tc>
        <w:tc>
          <w:tcPr>
            <w:tcW w:w="4034"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制造业（12.50%）、教育（12.50%）、金融业（12.50%）、住宿和餐饮业（12.50%）、居民服务、修理和其他服务业（12.50%）、军队（6.25%）、卫生和社会工作（6.25%）、建筑业（6.25%）、科学研究和技术服务业（6.25%）、租赁和商务服务业（6.25%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体育运营与管理</w:t>
            </w:r>
          </w:p>
        </w:tc>
        <w:tc>
          <w:tcPr>
            <w:tcW w:w="4034"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*教育（100.00%）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助产</w:t>
            </w:r>
          </w:p>
        </w:tc>
        <w:tc>
          <w:tcPr>
            <w:tcW w:w="4034"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*卫生和社会工作（100.00%）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工业机器人技术</w:t>
            </w:r>
          </w:p>
        </w:tc>
        <w:tc>
          <w:tcPr>
            <w:tcW w:w="4034"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*制造业（100.00%）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智能控制技术</w:t>
            </w:r>
          </w:p>
        </w:tc>
        <w:tc>
          <w:tcPr>
            <w:tcW w:w="4034"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*教育（100.00%）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机械设计与制造</w:t>
            </w:r>
          </w:p>
        </w:tc>
        <w:tc>
          <w:tcPr>
            <w:tcW w:w="4034"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*科学研究和技术服务业（66.67%）、交通运输、仓储和邮政业（33.33%）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酒店管理</w:t>
            </w:r>
          </w:p>
        </w:tc>
        <w:tc>
          <w:tcPr>
            <w:tcW w:w="4034"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*住宿和餐饮业（50.00%）、租赁和商务服务业（33.33%）、居民服务、修理和其他服务业（16.67%）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机电一体化技术（中高职转段）</w:t>
            </w:r>
          </w:p>
        </w:tc>
        <w:tc>
          <w:tcPr>
            <w:tcW w:w="4034"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*建筑业（40.00%）、制造业（20.00%）、电力、热力、燃气及水生产和供应业（20.00%）、金融业（20.00%）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snapToGrid/>
                <w:sz w:val="21"/>
                <w:lang w:eastAsia="zh-CN"/>
              </w:rPr>
            </w:pPr>
            <w:r>
              <w:rPr>
                <w:rFonts w:hint="eastAsia" w:eastAsia="宋体"/>
                <w:b w:val="0"/>
                <w:bCs/>
                <w:snapToGrid/>
                <w:sz w:val="21"/>
                <w:lang w:eastAsia="zh-CN"/>
              </w:rPr>
              <w:t>国际邮轮乘务</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管理</w:t>
            </w:r>
          </w:p>
        </w:tc>
        <w:tc>
          <w:tcPr>
            <w:tcW w:w="4034"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*公共管理、社会保障和社会组织（33.33%）、住宿和餐饮业（33.33%）、居民服务、修理和其他服务业（33.33%）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snapToGrid/>
                <w:sz w:val="21"/>
                <w:lang w:eastAsia="zh-CN"/>
              </w:rPr>
            </w:pPr>
            <w:r>
              <w:rPr>
                <w:rFonts w:hint="eastAsia" w:eastAsia="宋体"/>
                <w:b w:val="0"/>
                <w:bCs/>
                <w:snapToGrid/>
                <w:sz w:val="21"/>
                <w:lang w:eastAsia="zh-CN"/>
              </w:rPr>
              <w:t>建筑装饰工程</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技术</w:t>
            </w:r>
          </w:p>
        </w:tc>
        <w:tc>
          <w:tcPr>
            <w:tcW w:w="4034"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*建筑业（33.33%）、租赁和商务服务业（33.33%）、居民服务、修理和其他服务业（33.33%）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轮机工程技术</w:t>
            </w:r>
          </w:p>
        </w:tc>
        <w:tc>
          <w:tcPr>
            <w:tcW w:w="4034"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*交通运输、仓储和邮政业（33.33%）、批发和零售业（33.33%）、住宿和餐饮业（33.33%）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电子商务</w:t>
            </w:r>
          </w:p>
        </w:tc>
        <w:tc>
          <w:tcPr>
            <w:tcW w:w="4034"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*制造业（25.00%）、信息传输、软件和信息技术服务业（25.00%）、农、林、牧、渔业（25.00%）、批发和零售业（25.00%）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snapToGrid/>
                <w:sz w:val="21"/>
                <w:lang w:eastAsia="zh-CN"/>
              </w:rPr>
            </w:pPr>
            <w:r>
              <w:rPr>
                <w:rFonts w:hint="eastAsia" w:eastAsia="宋体"/>
                <w:b w:val="0"/>
                <w:bCs/>
                <w:snapToGrid/>
                <w:sz w:val="21"/>
                <w:lang w:eastAsia="zh-CN"/>
              </w:rPr>
              <w:t>大数据技术与</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应用</w:t>
            </w:r>
          </w:p>
        </w:tc>
        <w:tc>
          <w:tcPr>
            <w:tcW w:w="4034"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*公共管理、社会保障和社会组织（25.00%）、军队（25.00%）、制造业（12.50%）、水利、环境和公共设施管理业（12.50%）、租赁和商务服务业（12.50%）、金融业（12.50%）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传播与策划</w:t>
            </w:r>
          </w:p>
        </w:tc>
        <w:tc>
          <w:tcPr>
            <w:tcW w:w="4034"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*公共管理、社会保障和社会组织（25.00%）、租赁和商务服务业（25.00%）、文化、体育和娱乐业（25.00%）、房地产业（12.50%）、金融业（12.50%）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艺术设计</w:t>
            </w:r>
          </w:p>
        </w:tc>
        <w:tc>
          <w:tcPr>
            <w:tcW w:w="4034"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*信息传输、软件和信息技术服务业（22.22%）、住宿和餐饮业（22.22%）、制造业（11.11%）、交通运输、仓储和邮政业（11.11%）、农、林、牧、渔业（11.11%）、教育（11.11%）、文化、体育和娱乐业（11.11%）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966"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水路运输与海事管理</w:t>
            </w:r>
          </w:p>
        </w:tc>
        <w:tc>
          <w:tcPr>
            <w:tcW w:w="4034"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*交通运输、仓储和邮政业（20.00%）、信息传输、软件和信息技术服务业（20.00%）、军队（20.00%）、批发和零售业（20.00%）、住宿和餐饮业（20.00%）</w:t>
            </w:r>
          </w:p>
        </w:tc>
      </w:tr>
    </w:tbl>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Chars="0"/>
        <w:jc w:val="both"/>
        <w:textAlignment w:val="auto"/>
        <w:rPr>
          <w:rFonts w:ascii="黑体" w:hAnsi="黑体" w:eastAsia="黑体"/>
          <w:snapToGrid/>
          <w:sz w:val="21"/>
          <w:lang w:eastAsia="zh-CN"/>
        </w:rPr>
      </w:pPr>
      <w:r>
        <w:rPr>
          <w:rFonts w:hint="eastAsia" w:ascii="黑体" w:hAnsi="黑体" w:eastAsia="黑体"/>
          <w:snapToGrid/>
          <w:sz w:val="21"/>
          <w:lang w:eastAsia="zh-CN"/>
        </w:rPr>
        <w:t>注：</w:t>
      </w:r>
      <w:r>
        <w:rPr>
          <w:rFonts w:ascii="黑体" w:hAnsi="黑体" w:eastAsia="黑体"/>
          <w:snapToGrid/>
          <w:sz w:val="21"/>
          <w:lang w:eastAsia="zh-CN"/>
        </w:rPr>
        <w:t>*</w:t>
      </w:r>
      <w:r>
        <w:rPr>
          <w:rFonts w:hint="eastAsia" w:ascii="黑体" w:hAnsi="黑体" w:eastAsia="黑体"/>
          <w:snapToGrid/>
          <w:sz w:val="21"/>
          <w:lang w:eastAsia="zh-CN"/>
        </w:rPr>
        <w:t>专业样本量较小，其分析结果仅供参考，不纳入到报告此处分析范畴。</w:t>
      </w:r>
    </w:p>
    <w:p>
      <w:pPr>
        <w:rPr>
          <w:snapToGrid/>
          <w:sz w:val="21"/>
          <w:lang w:eastAsia="zh-CN"/>
        </w:rPr>
      </w:pPr>
      <w:r>
        <w:rPr>
          <w:rFonts w:hint="eastAsia" w:ascii="仿宋" w:hAnsi="仿宋"/>
          <w:sz w:val="21"/>
          <w:lang w:eastAsia="zh-CN"/>
        </w:rPr>
        <w:t>数据来源：北京新锦成教育技术有限公司</w:t>
      </w:r>
    </w:p>
    <w:p>
      <w:pPr>
        <w:pStyle w:val="3"/>
        <w:ind w:firstLine="643"/>
        <w:rPr>
          <w:lang w:eastAsia="zh-CN"/>
        </w:rPr>
      </w:pPr>
      <w:bookmarkStart w:id="235" w:name="_Toc130307154"/>
      <w:bookmarkStart w:id="236" w:name="_Toc148372485"/>
      <w:bookmarkStart w:id="237" w:name="_Toc151887774"/>
      <w:r>
        <w:rPr>
          <w:rFonts w:hint="eastAsia"/>
          <w:lang w:eastAsia="zh-CN"/>
        </w:rPr>
        <w:t>（三）主要就业行业就业质量差异分析</w:t>
      </w:r>
      <w:bookmarkEnd w:id="235"/>
      <w:bookmarkEnd w:id="236"/>
      <w:bookmarkEnd w:id="237"/>
    </w:p>
    <w:p>
      <w:pPr>
        <w:ind w:firstLine="640"/>
        <w:rPr>
          <w:lang w:eastAsia="zh-CN"/>
        </w:rPr>
      </w:pPr>
      <w:r>
        <w:rPr>
          <w:rFonts w:hint="eastAsia"/>
          <w:lang w:eastAsia="zh-CN"/>
        </w:rPr>
        <w:t>主要就业行业就业质量差异分析：从月均收入来看，交通运输、仓储和邮政业（ 5465元）和建筑业 （5214元）薪酬优势较高；而卫生和社会工作（3702元）月均收入相对较低。从工作满意度来看，在公共管理、社会保障和社会组织等行业就业的毕业生对目前工作总体的满意度最高，达100.00%；从离职率来看，在科学研究和技术服务业就业的毕业生的离职率最低，为30.77%</w:t>
      </w:r>
      <w:r>
        <w:rPr>
          <w:lang w:eastAsia="zh-CN"/>
        </w:rPr>
        <w:t>。</w:t>
      </w:r>
    </w:p>
    <w:p>
      <w:pPr>
        <w:ind w:firstLine="422"/>
        <w:rPr>
          <w:rFonts w:eastAsia="黑体"/>
          <w:b/>
          <w:sz w:val="21"/>
          <w:lang w:eastAsia="zh-CN"/>
        </w:rPr>
      </w:pPr>
      <w:bookmarkStart w:id="238" w:name="_Toc129867548"/>
      <w:r>
        <w:rPr>
          <w:rFonts w:hint="eastAsia" w:eastAsia="黑体"/>
          <w:b/>
          <w:sz w:val="21"/>
          <w:lang w:eastAsia="zh-CN"/>
        </w:rPr>
        <w:br w:type="page"/>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r>
        <w:rPr>
          <w:rFonts w:hint="eastAsia" w:eastAsia="黑体"/>
          <w:b/>
          <w:sz w:val="21"/>
          <w:lang w:eastAsia="zh-CN"/>
        </w:rPr>
        <w:t>表4.</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表2-2-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19</w:t>
      </w:r>
      <w:r>
        <w:rPr>
          <w:rFonts w:eastAsia="黑体"/>
          <w:b/>
          <w:sz w:val="21"/>
          <w:lang w:eastAsia="zh-CN"/>
        </w:rPr>
        <w:fldChar w:fldCharType="end"/>
      </w:r>
      <w:r>
        <w:rPr>
          <w:rFonts w:eastAsia="宋体"/>
          <w:b/>
          <w:sz w:val="24"/>
          <w:szCs w:val="24"/>
          <w:lang w:eastAsia="zh-CN"/>
        </w:rPr>
        <w:t xml:space="preserve">  2022届不同就业领域</w:t>
      </w:r>
      <w:r>
        <w:rPr>
          <w:rFonts w:hint="eastAsia" w:eastAsia="宋体"/>
          <w:b/>
          <w:sz w:val="24"/>
          <w:szCs w:val="24"/>
          <w:lang w:eastAsia="zh-CN"/>
        </w:rPr>
        <w:t>毕业生就业</w:t>
      </w:r>
      <w:r>
        <w:rPr>
          <w:rFonts w:eastAsia="宋体"/>
          <w:b/>
          <w:sz w:val="24"/>
          <w:szCs w:val="24"/>
          <w:lang w:eastAsia="zh-CN"/>
        </w:rPr>
        <w:t>质量</w:t>
      </w:r>
      <w:r>
        <w:rPr>
          <w:rFonts w:hint="eastAsia" w:eastAsia="宋体"/>
          <w:b/>
          <w:sz w:val="24"/>
          <w:szCs w:val="24"/>
          <w:lang w:eastAsia="zh-CN"/>
        </w:rPr>
        <w:t>差异分析</w:t>
      </w:r>
      <w:bookmarkEnd w:id="238"/>
    </w:p>
    <w:tbl>
      <w:tblPr>
        <w:tblStyle w:val="37"/>
        <w:tblW w:w="5000" w:type="pct"/>
        <w:jc w:val="cente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4662"/>
        <w:gridCol w:w="2343"/>
        <w:gridCol w:w="1760"/>
        <w:gridCol w:w="1197"/>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jc w:val="center"/>
        </w:trPr>
        <w:tc>
          <w:tcPr>
            <w:tcW w:w="0" w:type="auto"/>
            <w:tcBorders>
              <w:top w:val="single" w:color="0F6FC6" w:sz="4" w:space="0"/>
              <w:left w:val="single" w:color="0F6FC6" w:sz="4" w:space="0"/>
              <w:bottom w:val="single" w:color="0F6FC6" w:sz="4" w:space="0"/>
              <w:right w:val="nil"/>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ascii="宋体" w:hAnsi="宋体" w:eastAsia="宋体"/>
                <w:b/>
                <w:bCs/>
                <w:snapToGrid/>
                <w:color w:val="CCE8CF"/>
                <w:sz w:val="21"/>
                <w:lang w:eastAsia="zh-CN"/>
              </w:rPr>
              <w:t>主要就业行业</w:t>
            </w:r>
          </w:p>
        </w:tc>
        <w:tc>
          <w:tcPr>
            <w:tcW w:w="0" w:type="auto"/>
            <w:tcBorders>
              <w:top w:val="single" w:color="0F6FC6" w:sz="4" w:space="0"/>
              <w:bottom w:val="single" w:color="0F6FC6" w:sz="4" w:space="0"/>
              <w:right w:val="nil"/>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ascii="宋体" w:hAnsi="宋体" w:eastAsia="宋体"/>
                <w:b/>
                <w:bCs/>
                <w:snapToGrid/>
                <w:color w:val="CCE8CF"/>
                <w:sz w:val="21"/>
                <w:lang w:eastAsia="zh-CN"/>
              </w:rPr>
              <w:t>月均收入（元）</w:t>
            </w:r>
          </w:p>
        </w:tc>
        <w:tc>
          <w:tcPr>
            <w:tcW w:w="0" w:type="auto"/>
            <w:tcBorders>
              <w:top w:val="single" w:color="0F6FC6" w:sz="4" w:space="0"/>
              <w:bottom w:val="single" w:color="0F6FC6" w:sz="4" w:space="0"/>
              <w:right w:val="nil"/>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ascii="宋体" w:hAnsi="宋体" w:eastAsia="宋体"/>
                <w:b/>
                <w:bCs/>
                <w:snapToGrid/>
                <w:color w:val="CCE8CF"/>
                <w:sz w:val="21"/>
                <w:lang w:eastAsia="zh-CN"/>
              </w:rPr>
              <w:t>工作满意度</w:t>
            </w:r>
          </w:p>
        </w:tc>
        <w:tc>
          <w:tcPr>
            <w:tcW w:w="0" w:type="auto"/>
            <w:tcBorders>
              <w:top w:val="single" w:color="0F6FC6" w:sz="4" w:space="0"/>
              <w:bottom w:val="single" w:color="0F6FC6" w:sz="4" w:space="0"/>
              <w:right w:val="single" w:color="0F6FC6"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ascii="宋体" w:hAnsi="宋体" w:eastAsia="宋体"/>
                <w:b/>
                <w:bCs/>
                <w:snapToGrid/>
                <w:color w:val="CCE8CF"/>
                <w:sz w:val="21"/>
                <w:lang w:eastAsia="zh-CN"/>
              </w:rPr>
              <w:t>离职率</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交通运输、仓储和邮政业</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5465</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96.55%</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42.31%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建筑业</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5214</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80.95%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56.10%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信息传输、软件和信息技术服务业</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5109</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94.74%</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55.00%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制造业</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5020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96.88%</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32.61%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科学研究和技术服务业</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4833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93.33%</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30.77%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租赁和商务服务业</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4738</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92.31%</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61.90%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文化、体育和娱乐业</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4587</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100.00%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63.64%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军队</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4545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100.00%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41.67%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金融业</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4412</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94.12%</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50.00%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教育</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4349</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93.75%</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44.44%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批发和零售业</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4199</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90.91%</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45.83%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住宿和餐饮业</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4033</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91.94%</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41.86%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农、林、牧、渔业</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3959</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88.24%</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72.73%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居民服务、修理和其他服务业</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3947</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92.11%</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33.33%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公共管理、社会保障和社会组织</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3718</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100.00%</w:t>
            </w:r>
          </w:p>
        </w:tc>
        <w:tc>
          <w:tcPr>
            <w:tcW w:w="0" w:type="auto"/>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33.33%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卫生和社会工作</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3702</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94.20%</w:t>
            </w:r>
          </w:p>
        </w:tc>
        <w:tc>
          <w:tcPr>
            <w:tcW w:w="0" w:type="auto"/>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snapToGrid/>
                <w:sz w:val="21"/>
                <w:lang w:eastAsia="zh-CN"/>
              </w:rPr>
            </w:pPr>
            <w:r>
              <w:rPr>
                <w:rFonts w:hint="eastAsia" w:eastAsia="宋体"/>
                <w:snapToGrid/>
                <w:sz w:val="21"/>
                <w:lang w:eastAsia="zh-CN"/>
              </w:rPr>
              <w:t>41.13%</w:t>
            </w:r>
          </w:p>
        </w:tc>
      </w:tr>
    </w:tbl>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Chars="0"/>
        <w:jc w:val="both"/>
        <w:textAlignment w:val="auto"/>
        <w:rPr>
          <w:rFonts w:ascii="黑体" w:hAnsi="黑体" w:eastAsia="黑体"/>
          <w:snapToGrid/>
          <w:sz w:val="21"/>
          <w:lang w:eastAsia="zh-CN"/>
        </w:rPr>
      </w:pPr>
      <w:r>
        <w:rPr>
          <w:rFonts w:ascii="黑体" w:hAnsi="黑体" w:eastAsia="黑体"/>
          <w:snapToGrid/>
          <w:sz w:val="21"/>
          <w:lang w:eastAsia="zh-CN"/>
        </w:rPr>
        <w:t>注：主要就业行业指就业人数≥</w:t>
      </w:r>
      <w:r>
        <w:rPr>
          <w:rFonts w:eastAsia="黑体"/>
          <w:snapToGrid/>
          <w:sz w:val="21"/>
          <w:lang w:eastAsia="zh-CN"/>
        </w:rPr>
        <w:t>15人</w:t>
      </w:r>
      <w:r>
        <w:rPr>
          <w:rFonts w:ascii="黑体" w:hAnsi="黑体" w:eastAsia="黑体"/>
          <w:snapToGrid/>
          <w:sz w:val="21"/>
          <w:lang w:eastAsia="zh-CN"/>
        </w:rPr>
        <w:t>的行业。</w:t>
      </w:r>
    </w:p>
    <w:p>
      <w:pPr>
        <w:rPr>
          <w:snapToGrid/>
          <w:sz w:val="21"/>
          <w:lang w:eastAsia="zh-CN"/>
        </w:rPr>
      </w:pPr>
      <w:r>
        <w:rPr>
          <w:rFonts w:hint="eastAsia" w:ascii="仿宋" w:hAnsi="仿宋"/>
          <w:sz w:val="21"/>
          <w:lang w:eastAsia="zh-CN"/>
        </w:rPr>
        <w:t>数据来源：北京新锦成教育技术有限公司</w:t>
      </w:r>
    </w:p>
    <w:p>
      <w:pPr>
        <w:pStyle w:val="2"/>
        <w:ind w:firstLine="640"/>
        <w:rPr>
          <w:lang w:eastAsia="zh-CN"/>
        </w:rPr>
      </w:pPr>
      <w:bookmarkStart w:id="239" w:name="_Toc148372486"/>
      <w:bookmarkStart w:id="240" w:name="_Toc130307155"/>
      <w:bookmarkStart w:id="241" w:name="_Toc151887775"/>
      <w:r>
        <w:rPr>
          <w:rFonts w:hint="eastAsia"/>
          <w:lang w:eastAsia="zh-CN"/>
        </w:rPr>
        <w:t>三</w:t>
      </w:r>
      <w:r>
        <w:rPr>
          <w:lang w:eastAsia="zh-CN"/>
        </w:rPr>
        <w:t>、就业职业特色</w:t>
      </w:r>
      <w:bookmarkEnd w:id="239"/>
      <w:bookmarkEnd w:id="240"/>
      <w:bookmarkEnd w:id="241"/>
    </w:p>
    <w:p>
      <w:pPr>
        <w:ind w:firstLine="640"/>
        <w:rPr>
          <w:lang w:eastAsia="zh-CN"/>
        </w:rPr>
      </w:pPr>
      <w:r>
        <w:rPr>
          <w:rFonts w:hint="eastAsia"/>
          <w:lang w:eastAsia="zh-CN"/>
        </w:rPr>
        <w:t>总体就业职业：2022届毕业生从事的职业</w:t>
      </w:r>
      <w:r>
        <w:rPr>
          <w:rFonts w:hint="eastAsia"/>
          <w:lang w:val="zh-CN" w:eastAsia="zh-CN"/>
        </w:rPr>
        <w:t>以“医疗卫生类”为主</w:t>
      </w:r>
      <w:r>
        <w:rPr>
          <w:lang w:val="zh-CN" w:eastAsia="zh-CN"/>
        </w:rPr>
        <w:t>（</w:t>
      </w:r>
      <w:r>
        <w:rPr>
          <w:rFonts w:hint="eastAsia"/>
          <w:lang w:val="zh-CN" w:eastAsia="zh-CN"/>
        </w:rPr>
        <w:t>29.41%</w:t>
      </w:r>
      <w:r>
        <w:rPr>
          <w:lang w:val="zh-CN" w:eastAsia="zh-CN"/>
        </w:rPr>
        <w:t>）</w:t>
      </w:r>
      <w:r>
        <w:rPr>
          <w:rFonts w:hint="eastAsia"/>
          <w:lang w:val="zh-CN" w:eastAsia="zh-CN"/>
        </w:rPr>
        <w:t>，“人力/行政/营销类”（10.55%</w:t>
      </w:r>
      <w:r>
        <w:rPr>
          <w:lang w:val="zh-CN" w:eastAsia="zh-CN"/>
        </w:rPr>
        <w:t>）</w:t>
      </w:r>
      <w:r>
        <w:rPr>
          <w:rFonts w:hint="eastAsia"/>
          <w:lang w:val="zh-CN" w:eastAsia="zh-CN"/>
        </w:rPr>
        <w:t>次之</w:t>
      </w:r>
      <w:r>
        <w:rPr>
          <w:lang w:eastAsia="zh-CN"/>
        </w:rPr>
        <w:t>。</w:t>
      </w:r>
    </w:p>
    <w:p>
      <w:pPr>
        <w:pBdr>
          <w:top w:val="none" w:color="000000" w:sz="0" w:space="0"/>
          <w:left w:val="none" w:color="000000" w:sz="0" w:space="0"/>
          <w:bottom w:val="none" w:color="000000" w:sz="0" w:space="0"/>
          <w:right w:val="none" w:color="000000" w:sz="0" w:space="0"/>
          <w:between w:val="none" w:color="000000" w:sz="0" w:space="0"/>
        </w:pBdr>
        <w:spacing w:before="50" w:after="50" w:line="360" w:lineRule="auto"/>
        <w:ind w:firstLine="480"/>
        <w:jc w:val="center"/>
        <w:rPr>
          <w:rFonts w:eastAsia="宋体"/>
          <w:sz w:val="24"/>
          <w:szCs w:val="24"/>
          <w:lang w:eastAsia="zh-CN"/>
        </w:rPr>
      </w:pPr>
      <w:r>
        <w:rPr>
          <w:rFonts w:eastAsia="宋体"/>
          <w:sz w:val="24"/>
          <w:szCs w:val="24"/>
          <w:lang w:eastAsia="zh-CN"/>
        </w:rPr>
        <w:drawing>
          <wp:inline distT="0" distB="0" distL="0" distR="0">
            <wp:extent cx="4620895" cy="2194560"/>
            <wp:effectExtent l="0" t="0" r="8255" b="0"/>
            <wp:docPr id="546"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242" w:name="_Toc129867550"/>
      <w:r>
        <w:rPr>
          <w:rFonts w:hint="eastAsia" w:eastAsia="黑体"/>
          <w:b/>
          <w:sz w:val="21"/>
          <w:lang w:eastAsia="zh-CN"/>
        </w:rPr>
        <w:t>图4.30  2022届毕业生就业量最大</w:t>
      </w:r>
      <w:r>
        <w:rPr>
          <w:rFonts w:eastAsia="黑体"/>
          <w:b/>
          <w:sz w:val="21"/>
          <w:lang w:eastAsia="zh-CN"/>
        </w:rPr>
        <w:t>的</w:t>
      </w:r>
      <w:r>
        <w:rPr>
          <w:rFonts w:hint="eastAsia" w:eastAsia="黑体"/>
          <w:b/>
          <w:sz w:val="21"/>
          <w:lang w:eastAsia="zh-CN"/>
        </w:rPr>
        <w:t>前十位</w:t>
      </w:r>
      <w:r>
        <w:rPr>
          <w:rFonts w:eastAsia="黑体"/>
          <w:b/>
          <w:sz w:val="21"/>
          <w:lang w:eastAsia="zh-CN"/>
        </w:rPr>
        <w:t>职业分布</w:t>
      </w:r>
      <w:bookmarkEnd w:id="242"/>
      <w:r>
        <w:rPr>
          <w:rFonts w:hint="eastAsia" w:eastAsia="黑体"/>
          <w:b/>
          <w:sz w:val="21"/>
          <w:lang w:eastAsia="zh-CN"/>
        </w:rPr>
        <w:t xml:space="preserve"> </w:t>
      </w:r>
    </w:p>
    <w:p>
      <w:pPr>
        <w:rPr>
          <w:snapToGrid/>
          <w:sz w:val="21"/>
          <w:lang w:eastAsia="zh-CN"/>
        </w:rPr>
      </w:pPr>
      <w:r>
        <w:rPr>
          <w:rFonts w:hint="eastAsia" w:ascii="仿宋" w:hAnsi="仿宋"/>
          <w:sz w:val="21"/>
          <w:lang w:eastAsia="zh-CN"/>
        </w:rPr>
        <w:t>数据来源：北京新锦成教育技术有限公司</w:t>
      </w:r>
    </w:p>
    <w:p>
      <w:pPr>
        <w:pStyle w:val="3"/>
        <w:ind w:firstLine="643"/>
        <w:rPr>
          <w:lang w:eastAsia="zh-CN"/>
        </w:rPr>
      </w:pPr>
      <w:bookmarkStart w:id="243" w:name="_Toc148372487"/>
      <w:bookmarkStart w:id="244" w:name="_Toc130307156"/>
      <w:bookmarkStart w:id="245" w:name="_Toc151887776"/>
      <w:r>
        <w:rPr>
          <w:rFonts w:hint="eastAsia"/>
          <w:lang w:eastAsia="zh-CN"/>
        </w:rPr>
        <w:t>（一）</w:t>
      </w:r>
      <w:r>
        <w:rPr>
          <w:lang w:eastAsia="zh-CN"/>
        </w:rPr>
        <w:t>各</w:t>
      </w:r>
      <w:r>
        <w:rPr>
          <w:rFonts w:hint="eastAsia"/>
          <w:lang w:eastAsia="zh-CN"/>
        </w:rPr>
        <w:t>学院就业职业分布</w:t>
      </w:r>
      <w:bookmarkEnd w:id="243"/>
      <w:bookmarkEnd w:id="244"/>
      <w:bookmarkEnd w:id="245"/>
    </w:p>
    <w:p>
      <w:pPr>
        <w:ind w:firstLine="640"/>
        <w:rPr>
          <w:lang w:eastAsia="zh-CN"/>
        </w:rPr>
      </w:pPr>
      <w:r>
        <w:rPr>
          <w:lang w:eastAsia="zh-CN"/>
        </w:rPr>
        <w:t>各学院毕业生主要就业职业分布：如下表所示。</w:t>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246" w:name="_Toc129867551"/>
      <w:r>
        <w:rPr>
          <w:rFonts w:hint="eastAsia" w:eastAsia="黑体"/>
          <w:b/>
          <w:sz w:val="21"/>
          <w:lang w:eastAsia="zh-CN"/>
        </w:rPr>
        <w:t>表4.</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表2-2-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20</w:t>
      </w:r>
      <w:r>
        <w:rPr>
          <w:rFonts w:eastAsia="黑体"/>
          <w:b/>
          <w:sz w:val="21"/>
          <w:lang w:eastAsia="zh-CN"/>
        </w:rPr>
        <w:fldChar w:fldCharType="end"/>
      </w:r>
      <w:r>
        <w:rPr>
          <w:rFonts w:eastAsia="宋体"/>
          <w:b/>
          <w:sz w:val="24"/>
          <w:szCs w:val="24"/>
          <w:lang w:eastAsia="zh-CN"/>
        </w:rPr>
        <w:t xml:space="preserve">  </w:t>
      </w:r>
      <w:r>
        <w:rPr>
          <w:rFonts w:hint="eastAsia" w:eastAsia="宋体"/>
          <w:b/>
          <w:sz w:val="24"/>
          <w:szCs w:val="24"/>
          <w:lang w:eastAsia="zh-CN"/>
        </w:rPr>
        <w:t>2022届各学院毕业生主要就业职业分布</w:t>
      </w:r>
      <w:bookmarkEnd w:id="246"/>
    </w:p>
    <w:tbl>
      <w:tblPr>
        <w:tblStyle w:val="37"/>
        <w:tblW w:w="5003" w:type="pct"/>
        <w:jc w:val="cente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1764"/>
        <w:gridCol w:w="8204"/>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jc w:val="center"/>
        </w:trPr>
        <w:tc>
          <w:tcPr>
            <w:tcW w:w="885" w:type="pct"/>
            <w:tcBorders>
              <w:top w:val="single" w:color="0F6FC6" w:sz="4" w:space="0"/>
              <w:left w:val="single" w:color="0F6FC6" w:sz="4" w:space="0"/>
              <w:bottom w:val="single" w:color="0F6FC6" w:sz="4" w:space="0"/>
              <w:right w:val="nil"/>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cs="微软雅黑"/>
                <w:b/>
                <w:bCs/>
                <w:snapToGrid/>
                <w:color w:val="CCE8CF"/>
                <w:sz w:val="21"/>
                <w:lang w:eastAsia="zh-CN"/>
              </w:rPr>
              <w:t>学院</w:t>
            </w:r>
          </w:p>
        </w:tc>
        <w:tc>
          <w:tcPr>
            <w:tcW w:w="4115" w:type="pct"/>
            <w:tcBorders>
              <w:top w:val="single" w:color="0F6FC6" w:sz="4" w:space="0"/>
              <w:bottom w:val="single" w:color="0F6FC6" w:sz="4" w:space="0"/>
              <w:right w:val="single" w:color="0F6FC6"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cs="微软雅黑"/>
                <w:b/>
                <w:bCs/>
                <w:snapToGrid/>
                <w:color w:val="CCE8CF"/>
                <w:sz w:val="21"/>
                <w:lang w:eastAsia="zh-CN"/>
              </w:rPr>
              <w:t>主要就业职业前十分布</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885"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国际护理学院</w:t>
            </w:r>
          </w:p>
        </w:tc>
        <w:tc>
          <w:tcPr>
            <w:tcW w:w="4115"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Calibri"/>
                <w:snapToGrid/>
                <w:sz w:val="21"/>
                <w:lang w:eastAsia="zh-CN"/>
              </w:rPr>
            </w:pPr>
            <w:r>
              <w:rPr>
                <w:rFonts w:hint="eastAsia" w:eastAsia="宋体"/>
                <w:bCs/>
                <w:snapToGrid/>
                <w:sz w:val="21"/>
                <w:lang w:eastAsia="zh-CN"/>
              </w:rPr>
              <w:t>医疗卫生类（87.83%）、人力/行政/营销类（4.35%）、商业服务类（2.61%）、建筑建材类（0.87%）、教育/培训/科研类（0.87%）、文化传媒类（0.87%）、法律/知识产权/公务员类（0.87%）、计算机/互联网类（0.87%）、贸易/物流类（0.87%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885"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健康科学学院</w:t>
            </w:r>
          </w:p>
        </w:tc>
        <w:tc>
          <w:tcPr>
            <w:tcW w:w="4115"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Calibri"/>
                <w:snapToGrid/>
                <w:sz w:val="21"/>
                <w:lang w:eastAsia="zh-CN"/>
              </w:rPr>
            </w:pPr>
            <w:r>
              <w:rPr>
                <w:rFonts w:hint="eastAsia" w:eastAsia="宋体"/>
                <w:bCs/>
                <w:snapToGrid/>
                <w:sz w:val="21"/>
                <w:lang w:eastAsia="zh-CN"/>
              </w:rPr>
              <w:t>医疗卫生类（67.86%）、人力/行政/营销类（10.71%）、商业服务类（7.14%）、教育/培训/科研类（3.57%）、文化传媒类（3.57%）、计算机/互联网类（3.57%）、社会居民生活服务类（3.57%）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885"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城建学院</w:t>
            </w:r>
          </w:p>
        </w:tc>
        <w:tc>
          <w:tcPr>
            <w:tcW w:w="4115"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Calibri"/>
                <w:snapToGrid/>
                <w:sz w:val="21"/>
                <w:lang w:eastAsia="zh-CN"/>
              </w:rPr>
            </w:pPr>
            <w:r>
              <w:rPr>
                <w:rFonts w:hint="eastAsia" w:eastAsia="宋体"/>
                <w:bCs/>
                <w:snapToGrid/>
                <w:sz w:val="21"/>
                <w:lang w:eastAsia="zh-CN"/>
              </w:rPr>
              <w:t>建筑建材类（57.41%）、地质勘测/矿山石油类（7.41%）、标准化/质量/安全/检验类（5.56%）、轻工业生产制造类（5.56%）、社会居民生活服务类（3.70%）、安全保卫/消防/兵器类（3.70%）、电气/电力/电子/通信类（3.70%）、人力/行政/营销类（1.85%）、商业服务类（1.85%）、教育/培训/科研类（1.85%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885"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临床医药学院</w:t>
            </w:r>
          </w:p>
        </w:tc>
        <w:tc>
          <w:tcPr>
            <w:tcW w:w="4115"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Calibri"/>
                <w:snapToGrid/>
                <w:sz w:val="21"/>
                <w:lang w:eastAsia="zh-CN"/>
              </w:rPr>
            </w:pPr>
            <w:r>
              <w:rPr>
                <w:rFonts w:hint="eastAsia" w:eastAsia="宋体"/>
                <w:bCs/>
                <w:snapToGrid/>
                <w:sz w:val="21"/>
                <w:lang w:eastAsia="zh-CN"/>
              </w:rPr>
              <w:t>医疗卫生类（47.67%）、人力/行政/营销类（9.30%）、社会居民生活服务类（9.30%）、电气/电力/电子/通信类（6.98%）、贸易/物流类（4.65%）、教育/培训/科研类（3.49%）、计算机/互联网类（3.49%）、化工/冶金/机械类（3.49%）、轻工业生产制造类（3.49%）、地质勘测/矿山石油类（2.33%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885"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海事学院</w:t>
            </w:r>
          </w:p>
        </w:tc>
        <w:tc>
          <w:tcPr>
            <w:tcW w:w="4115"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Calibri"/>
                <w:snapToGrid/>
                <w:sz w:val="21"/>
                <w:lang w:eastAsia="zh-CN"/>
              </w:rPr>
            </w:pPr>
            <w:r>
              <w:rPr>
                <w:rFonts w:hint="eastAsia" w:eastAsia="宋体"/>
                <w:bCs/>
                <w:snapToGrid/>
                <w:sz w:val="21"/>
                <w:lang w:eastAsia="zh-CN"/>
              </w:rPr>
              <w:t>交通运输类（35.29%）、商业服务类（17.65%）、人力/行政/营销类（5.88%）、建筑建材类（5.88%）、教育/培训/科研类（5.88%）、贸易/物流类（5.88%）、安全保卫/消防/兵器类（5.88%）、电气/电力/电子/通信类（5.88%）、金融/经济类（5.88%）、农/林/牧/渔/水利类（5.88%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885"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化学与材料工程学院</w:t>
            </w:r>
          </w:p>
        </w:tc>
        <w:tc>
          <w:tcPr>
            <w:tcW w:w="4115"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Calibri"/>
                <w:snapToGrid/>
                <w:sz w:val="21"/>
                <w:lang w:eastAsia="zh-CN"/>
              </w:rPr>
            </w:pPr>
            <w:r>
              <w:rPr>
                <w:rFonts w:hint="eastAsia" w:eastAsia="宋体"/>
                <w:bCs/>
                <w:snapToGrid/>
                <w:sz w:val="21"/>
                <w:lang w:eastAsia="zh-CN"/>
              </w:rPr>
              <w:t>化工/冶金/机械类（28.57%）、标准化/质量/安全/检验类（28.57%）、医疗卫生类（19.05%）、人力/行政/营销类（14.29%）、文化传媒类（4.76%）、贸易/物流类（2.38%）、地质勘测/矿山石油类（2.38%）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885"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机电工程学院</w:t>
            </w:r>
          </w:p>
        </w:tc>
        <w:tc>
          <w:tcPr>
            <w:tcW w:w="4115"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Calibri"/>
                <w:snapToGrid/>
                <w:sz w:val="21"/>
                <w:lang w:eastAsia="zh-CN"/>
              </w:rPr>
            </w:pPr>
            <w:r>
              <w:rPr>
                <w:rFonts w:hint="eastAsia" w:eastAsia="宋体"/>
                <w:bCs/>
                <w:snapToGrid/>
                <w:sz w:val="21"/>
                <w:lang w:eastAsia="zh-CN"/>
              </w:rPr>
              <w:t>电气/电力/电子/通信类（25.00%）、人力/行政/营销类（14.47%）、贸易/物流类（10.53%）、商业服务类（7.89%）、化工/冶金/机械类（7.89%）、轻工业生产制造类（6.58%）、社会居民生活服务类（5.26%）、交通运输类（5.26%）、标准化/质量/安全/检验类（5.26%）、建筑建材类（2.63%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885"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设计学院</w:t>
            </w:r>
          </w:p>
        </w:tc>
        <w:tc>
          <w:tcPr>
            <w:tcW w:w="4115"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Calibri"/>
                <w:snapToGrid/>
                <w:sz w:val="21"/>
                <w:lang w:eastAsia="zh-CN"/>
              </w:rPr>
            </w:pPr>
            <w:r>
              <w:rPr>
                <w:rFonts w:hint="eastAsia" w:eastAsia="宋体"/>
                <w:bCs/>
                <w:snapToGrid/>
                <w:sz w:val="21"/>
                <w:lang w:eastAsia="zh-CN"/>
              </w:rPr>
              <w:t>艺术/体育类（24.14%）、建筑建材类（20.69%）、人力/行政/营销类（13.79%）、文化传媒类（13.79%）、商业服务类（3.45%）、法律/知识产权/公务员类（3.45%）、计算机/互联网类（3.45%）、贸易/物流类（3.45%）、社会居民生活服务类（3.45%）、标准化/质量/安全/检验类（3.45%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885"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财经学院</w:t>
            </w:r>
          </w:p>
        </w:tc>
        <w:tc>
          <w:tcPr>
            <w:tcW w:w="4115"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Calibri"/>
                <w:snapToGrid/>
                <w:sz w:val="21"/>
                <w:lang w:eastAsia="zh-CN"/>
              </w:rPr>
            </w:pPr>
            <w:r>
              <w:rPr>
                <w:rFonts w:hint="eastAsia" w:eastAsia="宋体"/>
                <w:bCs/>
                <w:snapToGrid/>
                <w:sz w:val="21"/>
                <w:lang w:eastAsia="zh-CN"/>
              </w:rPr>
              <w:t>金融/经济类（21.43%）、人力/行政/营销类（18.37%）、商业服务类（14.29%）、贸易/物流类（13.27%）、社会居民生活服务类（7.14%）、教育/培训/科研类（4.08%）、安全保卫/消防/兵器类（4.08%）、计算机/互联网类（3.06%）、标准化/质量/安全/检验类（3.06%）、电气/电力/电子/通信类（2.04%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885"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信息工程学院</w:t>
            </w:r>
          </w:p>
        </w:tc>
        <w:tc>
          <w:tcPr>
            <w:tcW w:w="4115" w:type="pct"/>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Calibri"/>
                <w:snapToGrid/>
                <w:sz w:val="21"/>
                <w:lang w:eastAsia="zh-CN"/>
              </w:rPr>
            </w:pPr>
            <w:r>
              <w:rPr>
                <w:rFonts w:hint="eastAsia" w:eastAsia="宋体"/>
                <w:bCs/>
                <w:snapToGrid/>
                <w:sz w:val="21"/>
                <w:lang w:eastAsia="zh-CN"/>
              </w:rPr>
              <w:t>计算机/互联网类（20.69%）、人力/行政/营销类（10.34%）、贸易/物流类（10.34%）、社会居民生活服务类（10.34%）、金融/经济类（10.34%）、艺术/体育类（10.34%）、电气/电力/电子/通信类（6.90%）、商业服务类（3.45%）、教育/培训/科研类（3.45%）、文化传媒类（3.45%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885"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snapToGrid/>
                <w:sz w:val="21"/>
                <w:lang w:eastAsia="zh-CN"/>
              </w:rPr>
            </w:pPr>
            <w:r>
              <w:rPr>
                <w:rFonts w:hint="eastAsia" w:eastAsia="宋体"/>
                <w:b w:val="0"/>
                <w:bCs/>
                <w:snapToGrid/>
                <w:sz w:val="21"/>
                <w:lang w:eastAsia="zh-CN"/>
              </w:rPr>
              <w:t>传媒与音乐</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学院</w:t>
            </w:r>
          </w:p>
        </w:tc>
        <w:tc>
          <w:tcPr>
            <w:tcW w:w="4115" w:type="pct"/>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Calibri"/>
                <w:snapToGrid/>
                <w:sz w:val="21"/>
                <w:lang w:eastAsia="zh-CN"/>
              </w:rPr>
            </w:pPr>
            <w:r>
              <w:rPr>
                <w:rFonts w:hint="eastAsia" w:eastAsia="宋体"/>
                <w:bCs/>
                <w:snapToGrid/>
                <w:sz w:val="21"/>
                <w:lang w:eastAsia="zh-CN"/>
              </w:rPr>
              <w:t>*贸易/物流类（50.00%）、人力/行政/营销类（25.00%）、安全保卫/消防/兵器类（25.00%）</w:t>
            </w:r>
          </w:p>
        </w:tc>
      </w:tr>
    </w:tbl>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Chars="0"/>
        <w:jc w:val="both"/>
        <w:textAlignment w:val="auto"/>
        <w:rPr>
          <w:rFonts w:ascii="黑体" w:hAnsi="黑体" w:eastAsia="黑体"/>
          <w:snapToGrid/>
          <w:sz w:val="21"/>
          <w:lang w:eastAsia="zh-CN"/>
        </w:rPr>
      </w:pPr>
      <w:r>
        <w:rPr>
          <w:rFonts w:hint="eastAsia" w:ascii="黑体" w:hAnsi="黑体" w:eastAsia="黑体"/>
          <w:snapToGrid/>
          <w:sz w:val="21"/>
          <w:lang w:eastAsia="zh-CN"/>
        </w:rPr>
        <w:t>注：*</w:t>
      </w:r>
      <w:r>
        <w:rPr>
          <w:rFonts w:ascii="黑体" w:hAnsi="黑体" w:eastAsia="黑体"/>
          <w:snapToGrid/>
          <w:sz w:val="21"/>
          <w:lang w:eastAsia="zh-CN"/>
        </w:rPr>
        <w:t>学院</w:t>
      </w:r>
      <w:r>
        <w:rPr>
          <w:rFonts w:hint="eastAsia" w:ascii="黑体" w:hAnsi="黑体" w:eastAsia="黑体"/>
          <w:snapToGrid/>
          <w:sz w:val="21"/>
          <w:lang w:eastAsia="zh-CN"/>
        </w:rPr>
        <w:t>样本量较小，其分析结果仅供参考，不纳入到报告此处分析范畴。</w:t>
      </w:r>
    </w:p>
    <w:p>
      <w:pPr>
        <w:rPr>
          <w:snapToGrid/>
          <w:sz w:val="21"/>
          <w:lang w:eastAsia="zh-CN"/>
        </w:rPr>
      </w:pPr>
      <w:r>
        <w:rPr>
          <w:rFonts w:hint="eastAsia" w:ascii="仿宋" w:hAnsi="仿宋"/>
          <w:sz w:val="21"/>
          <w:lang w:eastAsia="zh-CN"/>
        </w:rPr>
        <w:t>数据来源：北京新锦成教育技术有限公司</w:t>
      </w:r>
    </w:p>
    <w:p>
      <w:pPr>
        <w:pStyle w:val="3"/>
        <w:ind w:firstLine="643"/>
        <w:rPr>
          <w:lang w:eastAsia="zh-CN"/>
        </w:rPr>
      </w:pPr>
      <w:bookmarkStart w:id="247" w:name="_Toc148372488"/>
      <w:bookmarkStart w:id="248" w:name="_Toc130307157"/>
      <w:bookmarkStart w:id="249" w:name="_Toc151887777"/>
      <w:r>
        <w:rPr>
          <w:rFonts w:hint="eastAsia"/>
          <w:lang w:eastAsia="zh-CN"/>
        </w:rPr>
        <w:t>（二）各专业就业职业分布</w:t>
      </w:r>
      <w:bookmarkEnd w:id="247"/>
      <w:bookmarkEnd w:id="248"/>
      <w:bookmarkEnd w:id="249"/>
    </w:p>
    <w:p>
      <w:pPr>
        <w:pBdr>
          <w:top w:val="none" w:color="000000" w:sz="0" w:space="0"/>
          <w:left w:val="none" w:color="000000" w:sz="0" w:space="0"/>
          <w:bottom w:val="none" w:color="000000" w:sz="0" w:space="0"/>
          <w:right w:val="none" w:color="000000" w:sz="0" w:space="0"/>
          <w:between w:val="none" w:color="000000" w:sz="0" w:space="0"/>
        </w:pBdr>
        <w:spacing w:before="163" w:after="163"/>
        <w:ind w:firstLine="422"/>
        <w:jc w:val="center"/>
        <w:rPr>
          <w:rFonts w:eastAsia="黑体"/>
          <w:b/>
          <w:sz w:val="21"/>
          <w:lang w:eastAsia="zh-CN"/>
        </w:rPr>
      </w:pPr>
      <w:bookmarkStart w:id="250" w:name="_Toc129867553"/>
      <w:r>
        <w:rPr>
          <w:rFonts w:hint="eastAsia" w:eastAsia="黑体"/>
          <w:b/>
          <w:sz w:val="21"/>
          <w:lang w:eastAsia="zh-CN"/>
        </w:rPr>
        <w:t>表4.</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表2-2-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21</w:t>
      </w:r>
      <w:r>
        <w:rPr>
          <w:rFonts w:eastAsia="黑体"/>
          <w:b/>
          <w:sz w:val="21"/>
          <w:lang w:eastAsia="zh-CN"/>
        </w:rPr>
        <w:fldChar w:fldCharType="end"/>
      </w:r>
      <w:r>
        <w:rPr>
          <w:rFonts w:eastAsia="宋体"/>
          <w:b/>
          <w:sz w:val="24"/>
          <w:szCs w:val="24"/>
          <w:lang w:eastAsia="zh-CN"/>
        </w:rPr>
        <w:t xml:space="preserve">  </w:t>
      </w:r>
      <w:r>
        <w:rPr>
          <w:rFonts w:hint="eastAsia" w:eastAsia="宋体"/>
          <w:b/>
          <w:sz w:val="24"/>
          <w:szCs w:val="24"/>
          <w:lang w:eastAsia="zh-CN"/>
        </w:rPr>
        <w:t>2022届各专业毕业生主要就业职业分布</w:t>
      </w:r>
      <w:bookmarkEnd w:id="250"/>
    </w:p>
    <w:tbl>
      <w:tblPr>
        <w:tblStyle w:val="37"/>
        <w:tblW w:w="5003" w:type="pct"/>
        <w:jc w:val="cente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fixed"/>
        <w:tblCellMar>
          <w:top w:w="0" w:type="dxa"/>
          <w:left w:w="108" w:type="dxa"/>
          <w:bottom w:w="0" w:type="dxa"/>
          <w:right w:w="108" w:type="dxa"/>
        </w:tblCellMar>
      </w:tblPr>
      <w:tblGrid>
        <w:gridCol w:w="2568"/>
        <w:gridCol w:w="7400"/>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jc w:val="center"/>
        </w:trPr>
        <w:tc>
          <w:tcPr>
            <w:tcW w:w="2263" w:type="dxa"/>
            <w:tcBorders>
              <w:top w:val="single" w:color="0F6FC6" w:sz="4" w:space="0"/>
              <w:left w:val="single" w:color="0F6FC6" w:sz="4" w:space="0"/>
              <w:bottom w:val="single" w:color="0F6FC6" w:sz="4" w:space="0"/>
              <w:right w:val="nil"/>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cs="微软雅黑"/>
                <w:b/>
                <w:bCs/>
                <w:snapToGrid/>
                <w:color w:val="CCE8CF"/>
                <w:sz w:val="21"/>
                <w:lang w:eastAsia="zh-CN"/>
              </w:rPr>
              <w:t>专业</w:t>
            </w:r>
          </w:p>
        </w:tc>
        <w:tc>
          <w:tcPr>
            <w:tcW w:w="6520" w:type="dxa"/>
            <w:tcBorders>
              <w:top w:val="single" w:color="0F6FC6" w:sz="4" w:space="0"/>
              <w:bottom w:val="single" w:color="0F6FC6" w:sz="4" w:space="0"/>
              <w:right w:val="single" w:color="0F6FC6"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cs="微软雅黑"/>
                <w:b/>
                <w:bCs/>
                <w:snapToGrid/>
                <w:color w:val="CCE8CF"/>
                <w:sz w:val="21"/>
                <w:lang w:eastAsia="zh-CN"/>
              </w:rPr>
              <w:t>主要就业职业前十分布</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石油化工技术</w:t>
            </w:r>
          </w:p>
        </w:tc>
        <w:tc>
          <w:tcPr>
            <w:tcW w:w="6520"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化工/冶金/机械类（91.67%）、地质勘测/矿山石油类（8.33%）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护理</w:t>
            </w:r>
          </w:p>
        </w:tc>
        <w:tc>
          <w:tcPr>
            <w:tcW w:w="6520"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医疗卫生类（87.27%）、人力/行政/营销类（4.55%）、商业服务类（2.73%）、建筑建材类（0.91%）、教育/培训/科研类（0.91%）、计算机/互联网类（0.91%）、贸易/物流类（0.91%）、文化传媒类（0.91%）、法律/知识产权/公务员类（0.91%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建筑工程技术</w:t>
            </w:r>
          </w:p>
        </w:tc>
        <w:tc>
          <w:tcPr>
            <w:tcW w:w="6520"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建筑建材类（69.57%）、电气/电力/电子/通信类（8.70%）、地质勘测/矿山石油类（4.35%）、安全保卫/消防/兵器类（4.35%）、贸易/物流类（4.35%）、轻工业生产制造类（4.35%）、交通运输类（4.35%）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健康管理</w:t>
            </w:r>
          </w:p>
        </w:tc>
        <w:tc>
          <w:tcPr>
            <w:tcW w:w="6520"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医疗卫生类（68.75%）、商业服务类（12.50%）、人力/行政/营销类（6.25%）、教育/培训/科研类（6.25%）、计算机/互联网类（6.25%）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中药学</w:t>
            </w:r>
          </w:p>
        </w:tc>
        <w:tc>
          <w:tcPr>
            <w:tcW w:w="6520"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医疗卫生类（66.67%）、人力/行政/营销类（13.33%）、社会居民生活服务类（10.00%）、化工/冶金/机械类（3.33%）、电气/电力/电子/通信类（3.33%）、农/林/牧/渔/水利类（3.33%）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烹调工艺与营养</w:t>
            </w:r>
          </w:p>
        </w:tc>
        <w:tc>
          <w:tcPr>
            <w:tcW w:w="6520"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商业服务类（66.67%）、人力/行政/营销类（11.11%）、教育/培训/科研类（11.11%）、社会居民生活服务类（11.11%）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社区康复</w:t>
            </w:r>
          </w:p>
        </w:tc>
        <w:tc>
          <w:tcPr>
            <w:tcW w:w="6520"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医疗卫生类（66.67%）、人力/行政/营销类（16.67%）、社会居民生活服务类（8.33%）、文化传媒类（8.33%）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药品生产技术</w:t>
            </w:r>
          </w:p>
        </w:tc>
        <w:tc>
          <w:tcPr>
            <w:tcW w:w="6520"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医疗卫生类（66.67%）、化工/冶金/机械类（8.33%）、人力/行政/营销类（8.33%）、贸易/物流类（8.33%）、标准化/质量/安全/检验类（8.33%）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金融管理</w:t>
            </w:r>
          </w:p>
        </w:tc>
        <w:tc>
          <w:tcPr>
            <w:tcW w:w="6520"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金融/经济类（62.50%）、人力/行政/营销类（12.50%）、社会居民生活服务类（12.50%）、贸易/物流类（12.50%）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物流管理</w:t>
            </w:r>
          </w:p>
        </w:tc>
        <w:tc>
          <w:tcPr>
            <w:tcW w:w="6520"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贸易/物流类（61.54%）、电气/电力/电子/通信类（15.38%）、商业服务类（7.69%）、标准化/质量/安全/检验类（7.69%）、农/林/牧/渔/水利类（7.69%）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食品营养与检测</w:t>
            </w:r>
          </w:p>
        </w:tc>
        <w:tc>
          <w:tcPr>
            <w:tcW w:w="6520"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标准化/质量/安全/检验类（61.11%）、人力/行政/营销类（27.78%）、文化传媒类（11.11%）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工程造价</w:t>
            </w:r>
          </w:p>
        </w:tc>
        <w:tc>
          <w:tcPr>
            <w:tcW w:w="6520"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建筑建材类（57.14%）、地质勘测/矿山石油类（9.52%）、标准化/质量/安全/检验类（9.52%）、化工/冶金/机械类（4.76%）、人力/行政/营销类（4.76%）、教育/培训/科研类（4.76%）、社会居民生活服务类（4.76%）、金融/经济类（4.76%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环境艺术设计</w:t>
            </w:r>
          </w:p>
        </w:tc>
        <w:tc>
          <w:tcPr>
            <w:tcW w:w="6520"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建筑建材类（50.00%）、电气/电力/电子/通信类（12.50%）、艺术/体育类（12.50%）、文化传媒类（12.50%）、标准化/质量/安全/检验类（12.50%）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风景园林设计</w:t>
            </w:r>
          </w:p>
        </w:tc>
        <w:tc>
          <w:tcPr>
            <w:tcW w:w="6520"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建筑建材类（50.00%）、人力/行政/营销类（25.00%）、社会居民生活服务类（25.00%）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会计</w:t>
            </w:r>
          </w:p>
        </w:tc>
        <w:tc>
          <w:tcPr>
            <w:tcW w:w="6520"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金融/经济类（43.75%）、人力/行政/营销类（15.63%）、贸易/物流类（9.38%）、社会居民生活服务类（6.25%）、计算机/互联网类（6.25%）、医疗卫生类（3.13%）、教育/培训/科研类（3.13%）、商业服务类（3.13%）、标准化/质量/安全/检验类（3.13%）、农/林/牧/渔/水利类（3.13%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航海技术</w:t>
            </w:r>
          </w:p>
        </w:tc>
        <w:tc>
          <w:tcPr>
            <w:tcW w:w="6520"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交通运输类（40.00%）、人力/行政/营销类（10.00%）、建筑建材类（10.00%）、贸易/物流类（10.00%）、金融/经济类（10.00%）、商业服务类（10.00%）、农/林/牧/渔/水利类（10.00%）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市场营销</w:t>
            </w:r>
          </w:p>
        </w:tc>
        <w:tc>
          <w:tcPr>
            <w:tcW w:w="6520"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人力/行政/营销类（40.00%）、安全保卫/消防/兵器类（20.00%）、社会居民生活服务类（10.00%）、计算机/互联网类（10.00%）、贸易/物流类（10.00%）、金融/经济类（10.00%）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口腔医学技术</w:t>
            </w:r>
          </w:p>
        </w:tc>
        <w:tc>
          <w:tcPr>
            <w:tcW w:w="6520"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医疗卫生类（37.50%）、电气/电力/电子/通信类（8.93%）、社会居民生活服务类（8.93%）、人力/行政/营销类（7.14%）、贸易/物流类（7.14%）、教育/培训/科研类（5.36%）、计算机/互联网类（5.36%）、轻工业生产制造类（5.36%）、化工/冶金/机械类（3.57%）、地质勘测/矿山石油类（3.57%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工商企业管理</w:t>
            </w:r>
          </w:p>
        </w:tc>
        <w:tc>
          <w:tcPr>
            <w:tcW w:w="6520"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人力/行政/营销类（35.71%）、教育/培训/科研类（14.29%）、化工/冶金/机械类（7.14%）、安全保卫/消防/兵器类（7.14%）、社会居民生活服务类（7.14%）、轻工业生产制造类（7.14%）、商业服务类（7.14%）、文化传媒类（7.14%）、法律/知识产权/公务员类（7.14%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计算机网络技术</w:t>
            </w:r>
          </w:p>
        </w:tc>
        <w:tc>
          <w:tcPr>
            <w:tcW w:w="6520"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人力/行政/营销类（30.00%）、计算机/互联网类（20.00%）、教育/培训/科研类（10.00%）、电气/电力/电子/通信类（10.00%）、社会居民生活服务类（10.00%）、商业服务类（10.00%）、农/林/牧/渔/水利类（10.00%）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汽车检测与维修技术</w:t>
            </w:r>
          </w:p>
        </w:tc>
        <w:tc>
          <w:tcPr>
            <w:tcW w:w="6520"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化工/冶金/机械类（29.41%）、人力/行政/营销类（17.65%）、交通运输类（17.65%）、社会居民生活服务类（11.76%）、电气/电力/电子/通信类（5.88%）、艺术/体育类（5.88%）、标准化/质量/安全/检验类（5.88%）、农/林/牧/渔/水利类（5.88%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软件技术</w:t>
            </w:r>
          </w:p>
        </w:tc>
        <w:tc>
          <w:tcPr>
            <w:tcW w:w="6520"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艺术/体育类（27.27%）、计算机/互联网类（27.27%）、社会居民生活服务类（18.18%）、贸易/物流类（18.18%）、电气/电力/电子/通信类（9.09%）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旅游管理</w:t>
            </w:r>
          </w:p>
        </w:tc>
        <w:tc>
          <w:tcPr>
            <w:tcW w:w="6520"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人力/行政/营销类（25.00%）、商业服务类（25.00%）、社会居民生活服务类（12.50%）、金融/经济类（12.50%）、标准化/质量/安全/检验类（12.50%）、交通运输类（12.50%）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新能源汽车技术</w:t>
            </w:r>
          </w:p>
        </w:tc>
        <w:tc>
          <w:tcPr>
            <w:tcW w:w="6520"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贸易/物流类（23.33%）、人力/行政/营销类（16.67%）、商业服务类（13.33%）、电气/电力/电子/通信类（10.00%）、轻工业生产制造类（10.00%）、教育/培训/科研类（6.67%）、标准化/质量/安全/检验类（6.67%）、安全保卫/消防/兵器类（3.33%）、建筑建材类（3.33%）、社会居民生活服务类（3.33%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助产</w:t>
            </w:r>
          </w:p>
        </w:tc>
        <w:tc>
          <w:tcPr>
            <w:tcW w:w="6520"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*医疗卫生类（100.00%）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工业机器人技术</w:t>
            </w:r>
          </w:p>
        </w:tc>
        <w:tc>
          <w:tcPr>
            <w:tcW w:w="6520"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*电气/电力/电子/通信类（100.00%）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体育运营与管理</w:t>
            </w:r>
          </w:p>
        </w:tc>
        <w:tc>
          <w:tcPr>
            <w:tcW w:w="6520"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*教育/培训/科研类（100.00%）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轮机工程技术</w:t>
            </w:r>
          </w:p>
        </w:tc>
        <w:tc>
          <w:tcPr>
            <w:tcW w:w="6520"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*交通运输类（100.00%）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酒店管理</w:t>
            </w:r>
          </w:p>
        </w:tc>
        <w:tc>
          <w:tcPr>
            <w:tcW w:w="6520"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*商业服务类（75.00%）、安全保卫/消防/兵器类（25.00%）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国际邮轮乘务管理</w:t>
            </w:r>
          </w:p>
        </w:tc>
        <w:tc>
          <w:tcPr>
            <w:tcW w:w="6520"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*商业服务类（66.67%）、交通运输类（33.33%）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电气自动化技术</w:t>
            </w:r>
          </w:p>
        </w:tc>
        <w:tc>
          <w:tcPr>
            <w:tcW w:w="6520"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*电气/电力/电子/通信类（62.50%）、人力/行政/营销类（12.50%）、安全保卫/消防/兵器类（12.50%）、商业服务类（12.50%）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机械设计与制造（中高职转段）</w:t>
            </w:r>
          </w:p>
        </w:tc>
        <w:tc>
          <w:tcPr>
            <w:tcW w:w="6520"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*电气/电力/电子/通信类（57.14%）、社会居民生活服务类（14.29%）、轻工业生产制造类（14.29%）、商业服务类（14.29%）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艺术设计</w:t>
            </w:r>
          </w:p>
        </w:tc>
        <w:tc>
          <w:tcPr>
            <w:tcW w:w="6520"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*艺术/体育类（55.56%）、计算机/互联网类（11.11%）、轻工业生产制造类（11.11%）、商业服务类（11.11%）、文化传媒类（11.11%）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大数据技术与应用</w:t>
            </w:r>
          </w:p>
        </w:tc>
        <w:tc>
          <w:tcPr>
            <w:tcW w:w="6520"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*金融/经济类（50.00%）、安全保卫/消防/兵器类（16.67%）、计算机/互联网类（16.67%）、法律/知识产权/公务员类（16.67%）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建筑装饰工程技术</w:t>
            </w:r>
          </w:p>
        </w:tc>
        <w:tc>
          <w:tcPr>
            <w:tcW w:w="6520"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*建筑建材类（50.00%）、社会居民生活服务类（50.00%）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机电一体化技术</w:t>
            </w:r>
          </w:p>
        </w:tc>
        <w:tc>
          <w:tcPr>
            <w:tcW w:w="6520"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*电气/电力/电子/通信类（50.00%）、人力/行政/营销类（16.67%）、贸易/物流类（16.67%）、标准化/质量/安全/检验类（16.67%）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机电一体化技术（中高职转段）</w:t>
            </w:r>
          </w:p>
        </w:tc>
        <w:tc>
          <w:tcPr>
            <w:tcW w:w="6520"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*电气/电力/电子/通信类（50.00%）、建筑建材类（25.00%）、计算机/互联网类（25.00%）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水路运输与海事管理</w:t>
            </w:r>
          </w:p>
        </w:tc>
        <w:tc>
          <w:tcPr>
            <w:tcW w:w="6520"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*安全保卫/消防/兵器类（50.00%）、电气/电力/电子/通信类（50.00%）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电子商务</w:t>
            </w:r>
          </w:p>
        </w:tc>
        <w:tc>
          <w:tcPr>
            <w:tcW w:w="6520"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*贸易/物流类（50.00%）、文化传媒类（50.00%）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音乐表演</w:t>
            </w:r>
          </w:p>
        </w:tc>
        <w:tc>
          <w:tcPr>
            <w:tcW w:w="6520"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*贸易/物流类（50.00%）、人力/行政/营销类（25.00%）、安全保卫/消防/兵器类（25.00%）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传播与策划</w:t>
            </w:r>
          </w:p>
        </w:tc>
        <w:tc>
          <w:tcPr>
            <w:tcW w:w="6520"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*人力/行政/营销类（37.50%）、文化传媒类（25.00%）、艺术/体育类（12.50%）、贸易/物流类（12.50%）、法律/知识产权/公务员类（12.50%）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机械设计与制造</w:t>
            </w:r>
          </w:p>
        </w:tc>
        <w:tc>
          <w:tcPr>
            <w:tcW w:w="6520"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*化工/冶金/机械类（33.33%）、人力/行政/营销类（33.33%）、轻工业生产制造类（33.33%）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263"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Calibri"/>
                <w:b w:val="0"/>
                <w:bCs w:val="0"/>
                <w:snapToGrid/>
                <w:sz w:val="21"/>
                <w:lang w:eastAsia="zh-CN"/>
              </w:rPr>
            </w:pPr>
            <w:r>
              <w:rPr>
                <w:rFonts w:hint="eastAsia" w:eastAsia="宋体"/>
                <w:b w:val="0"/>
                <w:bCs/>
                <w:snapToGrid/>
                <w:sz w:val="21"/>
                <w:lang w:eastAsia="zh-CN"/>
              </w:rPr>
              <w:t>建筑设计</w:t>
            </w:r>
          </w:p>
        </w:tc>
        <w:tc>
          <w:tcPr>
            <w:tcW w:w="6520"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bCs/>
                <w:snapToGrid/>
                <w:sz w:val="21"/>
                <w:lang w:eastAsia="zh-CN"/>
              </w:rPr>
              <w:t>*建筑建材类（25.00%）、轻工业生产制造类（25.00%）、地质勘测/矿山石油类（12.50%）、安全保卫/消防/兵器类（12.50%）、商业服务类（12.50%）、标准化/质量/安全/检验类（12.50%）</w:t>
            </w:r>
          </w:p>
        </w:tc>
      </w:tr>
    </w:tbl>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Chars="0"/>
        <w:jc w:val="both"/>
        <w:textAlignment w:val="auto"/>
        <w:rPr>
          <w:rFonts w:ascii="黑体" w:hAnsi="黑体" w:eastAsia="黑体"/>
          <w:snapToGrid/>
          <w:sz w:val="21"/>
          <w:lang w:eastAsia="zh-CN"/>
        </w:rPr>
      </w:pPr>
      <w:r>
        <w:rPr>
          <w:rFonts w:hint="eastAsia" w:ascii="黑体" w:hAnsi="黑体" w:eastAsia="黑体"/>
          <w:snapToGrid/>
          <w:sz w:val="21"/>
          <w:lang w:eastAsia="zh-CN"/>
        </w:rPr>
        <w:t>注：*专业样本量较小，其分析结果仅供参考，不纳入到报告此处分析范畴。</w:t>
      </w:r>
    </w:p>
    <w:p>
      <w:pPr>
        <w:rPr>
          <w:snapToGrid/>
          <w:sz w:val="21"/>
          <w:lang w:eastAsia="zh-CN"/>
        </w:rPr>
      </w:pPr>
      <w:r>
        <w:rPr>
          <w:rFonts w:hint="eastAsia" w:ascii="仿宋" w:hAnsi="仿宋"/>
          <w:sz w:val="21"/>
          <w:lang w:eastAsia="zh-CN"/>
        </w:rPr>
        <w:t>数据来源：北京新锦成教育技术有限公司</w:t>
      </w:r>
    </w:p>
    <w:p>
      <w:pPr>
        <w:pStyle w:val="3"/>
        <w:ind w:firstLine="643"/>
        <w:rPr>
          <w:lang w:eastAsia="zh-CN"/>
        </w:rPr>
      </w:pPr>
      <w:bookmarkStart w:id="251" w:name="_Toc130307158"/>
      <w:bookmarkStart w:id="252" w:name="_Toc148372489"/>
      <w:bookmarkStart w:id="253" w:name="_Toc151887778"/>
      <w:r>
        <w:rPr>
          <w:rFonts w:hint="eastAsia"/>
          <w:lang w:eastAsia="zh-CN"/>
        </w:rPr>
        <w:t>（三）主要就业职业就业质量差异分析</w:t>
      </w:r>
      <w:bookmarkEnd w:id="251"/>
      <w:bookmarkEnd w:id="252"/>
      <w:bookmarkEnd w:id="253"/>
    </w:p>
    <w:p>
      <w:pPr>
        <w:ind w:firstLine="640"/>
        <w:rPr>
          <w:lang w:eastAsia="zh-CN"/>
        </w:rPr>
      </w:pPr>
      <w:r>
        <w:rPr>
          <w:rFonts w:hint="eastAsia"/>
          <w:lang w:eastAsia="zh-CN"/>
        </w:rPr>
        <w:t>主要就业职业月均收入：职业为“计算机/互联网类”“建筑建材类”的毕业生月均收入水平相对较高，而职业为“金融/经济类”的毕业生月均收入水平相对较低。</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163" w:after="163" w:line="360" w:lineRule="auto"/>
        <w:ind w:firstLine="482" w:firstLineChars="0"/>
        <w:jc w:val="center"/>
        <w:textAlignment w:val="auto"/>
        <w:rPr>
          <w:rFonts w:eastAsia="宋体"/>
          <w:snapToGrid/>
          <w:sz w:val="24"/>
          <w:szCs w:val="24"/>
          <w:lang w:eastAsia="zh-CN"/>
        </w:rPr>
      </w:pPr>
      <w:r>
        <w:rPr>
          <w:rFonts w:eastAsia="宋体"/>
          <w:b/>
          <w:snapToGrid/>
          <w:sz w:val="24"/>
          <w:szCs w:val="24"/>
          <w:lang w:eastAsia="zh-CN"/>
        </w:rPr>
        <w:drawing>
          <wp:inline distT="0" distB="0" distL="0" distR="0">
            <wp:extent cx="4046855" cy="3040380"/>
            <wp:effectExtent l="0" t="0" r="4445" b="0"/>
            <wp:docPr id="547"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254" w:name="_Toc129867555"/>
      <w:r>
        <w:rPr>
          <w:rFonts w:hint="eastAsia" w:eastAsia="黑体"/>
          <w:b/>
          <w:sz w:val="21"/>
          <w:lang w:eastAsia="zh-CN"/>
        </w:rPr>
        <w:t>图4. 31</w:t>
      </w:r>
      <w:r>
        <w:rPr>
          <w:rFonts w:eastAsia="黑体"/>
          <w:b/>
          <w:sz w:val="21"/>
          <w:lang w:eastAsia="zh-CN"/>
        </w:rPr>
        <w:t xml:space="preserve"> </w:t>
      </w:r>
      <w:r>
        <w:rPr>
          <w:rFonts w:hint="eastAsia" w:eastAsia="黑体"/>
          <w:b/>
          <w:sz w:val="21"/>
          <w:lang w:eastAsia="zh-CN"/>
        </w:rPr>
        <w:t xml:space="preserve"> 2022届毕业生主要就业职业月均收入</w:t>
      </w:r>
      <w:r>
        <w:rPr>
          <w:rFonts w:eastAsia="黑体"/>
          <w:b/>
          <w:sz w:val="21"/>
          <w:lang w:eastAsia="zh-CN"/>
        </w:rPr>
        <w:t>分布</w:t>
      </w:r>
      <w:r>
        <w:rPr>
          <w:rFonts w:hint="eastAsia" w:eastAsia="黑体"/>
          <w:b/>
          <w:sz w:val="21"/>
          <w:lang w:eastAsia="zh-CN"/>
        </w:rPr>
        <w:t xml:space="preserve"> （单位</w:t>
      </w:r>
      <w:r>
        <w:rPr>
          <w:rFonts w:eastAsia="黑体"/>
          <w:b/>
          <w:sz w:val="21"/>
          <w:lang w:eastAsia="zh-CN"/>
        </w:rPr>
        <w:t>：</w:t>
      </w:r>
      <w:r>
        <w:rPr>
          <w:rFonts w:hint="eastAsia" w:eastAsia="黑体"/>
          <w:b/>
          <w:sz w:val="21"/>
          <w:lang w:eastAsia="zh-CN"/>
        </w:rPr>
        <w:t>元）</w:t>
      </w:r>
      <w:bookmarkEnd w:id="254"/>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Chars="0"/>
        <w:jc w:val="both"/>
        <w:textAlignment w:val="auto"/>
        <w:rPr>
          <w:rFonts w:ascii="黑体" w:hAnsi="黑体" w:eastAsia="黑体"/>
          <w:snapToGrid/>
          <w:sz w:val="21"/>
          <w:lang w:eastAsia="zh-CN"/>
        </w:rPr>
      </w:pPr>
      <w:r>
        <w:rPr>
          <w:rFonts w:ascii="黑体" w:hAnsi="黑体" w:eastAsia="黑体"/>
          <w:snapToGrid/>
          <w:sz w:val="21"/>
          <w:lang w:eastAsia="zh-CN"/>
        </w:rPr>
        <w:t>注：主要就业</w:t>
      </w:r>
      <w:r>
        <w:rPr>
          <w:rFonts w:hint="eastAsia" w:ascii="黑体" w:hAnsi="黑体" w:eastAsia="黑体"/>
          <w:snapToGrid/>
          <w:sz w:val="21"/>
          <w:lang w:eastAsia="zh-CN"/>
        </w:rPr>
        <w:t>职业</w:t>
      </w:r>
      <w:r>
        <w:rPr>
          <w:rFonts w:ascii="黑体" w:hAnsi="黑体" w:eastAsia="黑体"/>
          <w:snapToGrid/>
          <w:sz w:val="21"/>
          <w:lang w:eastAsia="zh-CN"/>
        </w:rPr>
        <w:t>指就业人数≥</w:t>
      </w:r>
      <w:r>
        <w:rPr>
          <w:rFonts w:eastAsia="黑体"/>
          <w:snapToGrid/>
          <w:sz w:val="21"/>
          <w:lang w:eastAsia="zh-CN"/>
        </w:rPr>
        <w:t>15</w:t>
      </w:r>
      <w:r>
        <w:rPr>
          <w:rFonts w:ascii="黑体" w:hAnsi="黑体" w:eastAsia="黑体"/>
          <w:snapToGrid/>
          <w:sz w:val="21"/>
          <w:lang w:eastAsia="zh-CN"/>
        </w:rPr>
        <w:t>人的</w:t>
      </w:r>
      <w:r>
        <w:rPr>
          <w:rFonts w:hint="eastAsia" w:ascii="黑体" w:hAnsi="黑体" w:eastAsia="黑体"/>
          <w:snapToGrid/>
          <w:sz w:val="21"/>
          <w:lang w:eastAsia="zh-CN"/>
        </w:rPr>
        <w:t>职业</w:t>
      </w:r>
      <w:r>
        <w:rPr>
          <w:rFonts w:ascii="黑体" w:hAnsi="黑体" w:eastAsia="黑体"/>
          <w:snapToGrid/>
          <w:sz w:val="21"/>
          <w:lang w:eastAsia="zh-CN"/>
        </w:rPr>
        <w:t>。</w:t>
      </w:r>
      <w:r>
        <w:rPr>
          <w:rFonts w:ascii="黑体" w:hAnsi="黑体" w:eastAsia="黑体"/>
          <w:snapToGrid/>
          <w:sz w:val="21"/>
          <w:lang w:eastAsia="zh-CN"/>
        </w:rPr>
        <w:tab/>
      </w:r>
    </w:p>
    <w:p>
      <w:pPr>
        <w:rPr>
          <w:snapToGrid/>
          <w:sz w:val="21"/>
          <w:lang w:eastAsia="zh-CN"/>
        </w:rPr>
      </w:pPr>
      <w:r>
        <w:rPr>
          <w:rFonts w:hint="eastAsia" w:ascii="仿宋" w:hAnsi="仿宋"/>
          <w:sz w:val="21"/>
          <w:lang w:eastAsia="zh-CN"/>
        </w:rPr>
        <w:t>数据来源：北京新锦成教育技术有限公司</w:t>
      </w:r>
    </w:p>
    <w:p>
      <w:pPr>
        <w:ind w:firstLine="640"/>
        <w:rPr>
          <w:lang w:eastAsia="zh-CN"/>
        </w:rPr>
      </w:pPr>
      <w:r>
        <w:rPr>
          <w:rFonts w:hint="eastAsia"/>
          <w:lang w:eastAsia="zh-CN"/>
        </w:rPr>
        <w:t>主要就业职业工作满意度：与其他职业相比，职业为“教育/培训/科研类”“标准化/质量/安全/检验类”等的毕业生对目前工作满意度评价相对较高，达到了100.00%，而“建筑建材类”的工作满意度相对较低，仅为80.56%。</w:t>
      </w:r>
    </w:p>
    <w:p>
      <w:pPr>
        <w:pBdr>
          <w:top w:val="none" w:color="000000" w:sz="0" w:space="0"/>
          <w:left w:val="none" w:color="000000" w:sz="0" w:space="0"/>
          <w:bottom w:val="none" w:color="000000" w:sz="0" w:space="0"/>
          <w:right w:val="none" w:color="000000" w:sz="0" w:space="0"/>
          <w:between w:val="none" w:color="000000" w:sz="0" w:space="0"/>
        </w:pBdr>
        <w:spacing w:line="360" w:lineRule="auto"/>
        <w:ind w:firstLine="480"/>
        <w:jc w:val="center"/>
        <w:rPr>
          <w:rFonts w:eastAsia="Calibri" w:cs="宋体"/>
          <w:sz w:val="24"/>
          <w:lang w:eastAsia="zh-CN"/>
        </w:rPr>
      </w:pPr>
      <w:r>
        <w:rPr>
          <w:rFonts w:eastAsia="Calibri" w:cs="宋体"/>
          <w:sz w:val="24"/>
          <w:lang w:eastAsia="zh-CN"/>
        </w:rPr>
        <w:drawing>
          <wp:inline distT="0" distB="0" distL="0" distR="0">
            <wp:extent cx="4914900" cy="2971800"/>
            <wp:effectExtent l="0" t="0" r="0" b="0"/>
            <wp:docPr id="548"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255" w:name="_Toc129867556"/>
      <w:r>
        <w:rPr>
          <w:rFonts w:hint="eastAsia" w:eastAsia="黑体"/>
          <w:b/>
          <w:sz w:val="21"/>
          <w:lang w:eastAsia="zh-CN"/>
        </w:rPr>
        <w:t>图4.32</w:t>
      </w:r>
      <w:r>
        <w:rPr>
          <w:rFonts w:eastAsia="黑体"/>
          <w:b/>
          <w:sz w:val="21"/>
          <w:lang w:eastAsia="zh-CN"/>
        </w:rPr>
        <w:t xml:space="preserve"> </w:t>
      </w:r>
      <w:r>
        <w:rPr>
          <w:rFonts w:hint="eastAsia" w:eastAsia="黑体"/>
          <w:b/>
          <w:sz w:val="21"/>
          <w:lang w:eastAsia="zh-CN"/>
        </w:rPr>
        <w:t xml:space="preserve"> 2022届毕业生主要就业职业工作满意度</w:t>
      </w:r>
      <w:r>
        <w:rPr>
          <w:rFonts w:eastAsia="黑体"/>
          <w:b/>
          <w:sz w:val="21"/>
          <w:lang w:eastAsia="zh-CN"/>
        </w:rPr>
        <w:t>分布</w:t>
      </w:r>
      <w:bookmarkEnd w:id="255"/>
      <w:r>
        <w:rPr>
          <w:rFonts w:hint="eastAsia" w:eastAsia="黑体"/>
          <w:b/>
          <w:sz w:val="21"/>
          <w:lang w:eastAsia="zh-CN"/>
        </w:rPr>
        <w:t xml:space="preserve"> </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Chars="0"/>
        <w:jc w:val="both"/>
        <w:textAlignment w:val="auto"/>
        <w:rPr>
          <w:rFonts w:ascii="黑体" w:hAnsi="黑体" w:eastAsia="黑体"/>
          <w:snapToGrid/>
          <w:sz w:val="21"/>
          <w:lang w:eastAsia="zh-CN"/>
        </w:rPr>
      </w:pPr>
      <w:r>
        <w:rPr>
          <w:rFonts w:ascii="黑体" w:hAnsi="黑体" w:eastAsia="黑体"/>
          <w:snapToGrid/>
          <w:sz w:val="21"/>
          <w:lang w:eastAsia="zh-CN"/>
        </w:rPr>
        <w:t>注：主要就业</w:t>
      </w:r>
      <w:r>
        <w:rPr>
          <w:rFonts w:hint="eastAsia" w:ascii="黑体" w:hAnsi="黑体" w:eastAsia="黑体"/>
          <w:snapToGrid/>
          <w:sz w:val="21"/>
          <w:lang w:eastAsia="zh-CN"/>
        </w:rPr>
        <w:t>职业</w:t>
      </w:r>
      <w:r>
        <w:rPr>
          <w:rFonts w:ascii="黑体" w:hAnsi="黑体" w:eastAsia="黑体"/>
          <w:snapToGrid/>
          <w:sz w:val="21"/>
          <w:lang w:eastAsia="zh-CN"/>
        </w:rPr>
        <w:t>指就业人数≥</w:t>
      </w:r>
      <w:r>
        <w:rPr>
          <w:rFonts w:eastAsia="黑体"/>
          <w:snapToGrid/>
          <w:sz w:val="21"/>
          <w:lang w:eastAsia="zh-CN"/>
        </w:rPr>
        <w:t>15</w:t>
      </w:r>
      <w:r>
        <w:rPr>
          <w:rFonts w:ascii="黑体" w:hAnsi="黑体" w:eastAsia="黑体"/>
          <w:snapToGrid/>
          <w:sz w:val="21"/>
          <w:lang w:eastAsia="zh-CN"/>
        </w:rPr>
        <w:t>人的</w:t>
      </w:r>
      <w:r>
        <w:rPr>
          <w:rFonts w:hint="eastAsia" w:ascii="黑体" w:hAnsi="黑体" w:eastAsia="黑体"/>
          <w:snapToGrid/>
          <w:sz w:val="21"/>
          <w:lang w:eastAsia="zh-CN"/>
        </w:rPr>
        <w:t>职业</w:t>
      </w:r>
      <w:r>
        <w:rPr>
          <w:rFonts w:ascii="黑体" w:hAnsi="黑体" w:eastAsia="黑体"/>
          <w:snapToGrid/>
          <w:sz w:val="21"/>
          <w:lang w:eastAsia="zh-CN"/>
        </w:rPr>
        <w:t>。</w:t>
      </w:r>
    </w:p>
    <w:p>
      <w:pPr>
        <w:rPr>
          <w:snapToGrid/>
          <w:sz w:val="21"/>
          <w:lang w:eastAsia="zh-CN"/>
        </w:rPr>
      </w:pPr>
      <w:r>
        <w:rPr>
          <w:rFonts w:hint="eastAsia" w:ascii="仿宋" w:hAnsi="仿宋"/>
          <w:sz w:val="21"/>
          <w:lang w:eastAsia="zh-CN"/>
        </w:rPr>
        <w:t>数据来源：北京新锦成教育技术有限公司</w:t>
      </w:r>
    </w:p>
    <w:p>
      <w:pPr>
        <w:ind w:firstLine="640"/>
        <w:rPr>
          <w:lang w:eastAsia="zh-CN"/>
        </w:rPr>
      </w:pPr>
      <w:r>
        <w:rPr>
          <w:rFonts w:hint="eastAsia"/>
          <w:lang w:eastAsia="zh-CN"/>
        </w:rPr>
        <w:t>主要就业职业离职率：职业为“计算机/互联网类”职业的毕业生离职率相对较高，而从事“标准化/质量/安全/检验类”职业的毕业生离职率相对较低。</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163" w:after="163" w:line="360" w:lineRule="auto"/>
        <w:ind w:firstLine="480" w:firstLineChars="0"/>
        <w:jc w:val="center"/>
        <w:textAlignment w:val="auto"/>
        <w:rPr>
          <w:rFonts w:eastAsia="宋体"/>
          <w:snapToGrid/>
          <w:sz w:val="24"/>
          <w:szCs w:val="24"/>
          <w:lang w:eastAsia="zh-CN"/>
        </w:rPr>
      </w:pPr>
      <w:r>
        <w:rPr>
          <w:rFonts w:eastAsia="宋体"/>
          <w:snapToGrid/>
          <w:sz w:val="24"/>
          <w:szCs w:val="24"/>
          <w:lang w:eastAsia="zh-CN"/>
        </w:rPr>
        <w:drawing>
          <wp:inline distT="0" distB="0" distL="0" distR="0">
            <wp:extent cx="5071110" cy="4133850"/>
            <wp:effectExtent l="0" t="0" r="0" b="5080"/>
            <wp:docPr id="549"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256" w:name="_Toc129867557"/>
      <w:r>
        <w:rPr>
          <w:rFonts w:hint="eastAsia" w:eastAsia="黑体"/>
          <w:b/>
          <w:sz w:val="21"/>
          <w:lang w:eastAsia="zh-CN"/>
        </w:rPr>
        <w:t>图4.33</w:t>
      </w:r>
      <w:r>
        <w:rPr>
          <w:rFonts w:eastAsia="黑体"/>
          <w:b/>
          <w:sz w:val="21"/>
          <w:lang w:eastAsia="zh-CN"/>
        </w:rPr>
        <w:t xml:space="preserve"> </w:t>
      </w:r>
      <w:r>
        <w:rPr>
          <w:rFonts w:hint="eastAsia" w:eastAsia="黑体"/>
          <w:b/>
          <w:sz w:val="21"/>
          <w:lang w:eastAsia="zh-CN"/>
        </w:rPr>
        <w:t xml:space="preserve"> 2022届毕业生主要就业职业离职率</w:t>
      </w:r>
      <w:r>
        <w:rPr>
          <w:rFonts w:eastAsia="黑体"/>
          <w:b/>
          <w:sz w:val="21"/>
          <w:lang w:eastAsia="zh-CN"/>
        </w:rPr>
        <w:t>分布</w:t>
      </w:r>
      <w:bookmarkEnd w:id="256"/>
      <w:r>
        <w:rPr>
          <w:rFonts w:hint="eastAsia" w:eastAsia="黑体"/>
          <w:b/>
          <w:sz w:val="21"/>
          <w:lang w:eastAsia="zh-CN"/>
        </w:rPr>
        <w:t xml:space="preserve"> </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Chars="0"/>
        <w:jc w:val="both"/>
        <w:textAlignment w:val="auto"/>
        <w:rPr>
          <w:rFonts w:ascii="黑体" w:hAnsi="黑体" w:eastAsia="黑体"/>
          <w:snapToGrid/>
          <w:sz w:val="21"/>
          <w:lang w:eastAsia="zh-CN"/>
        </w:rPr>
      </w:pPr>
      <w:r>
        <w:rPr>
          <w:rFonts w:ascii="黑体" w:hAnsi="黑体" w:eastAsia="黑体"/>
          <w:snapToGrid/>
          <w:sz w:val="21"/>
          <w:lang w:eastAsia="zh-CN"/>
        </w:rPr>
        <w:t>注：主要就业</w:t>
      </w:r>
      <w:r>
        <w:rPr>
          <w:rFonts w:hint="eastAsia" w:ascii="黑体" w:hAnsi="黑体" w:eastAsia="黑体"/>
          <w:snapToGrid/>
          <w:sz w:val="21"/>
          <w:lang w:eastAsia="zh-CN"/>
        </w:rPr>
        <w:t>职业</w:t>
      </w:r>
      <w:r>
        <w:rPr>
          <w:rFonts w:ascii="黑体" w:hAnsi="黑体" w:eastAsia="黑体"/>
          <w:snapToGrid/>
          <w:sz w:val="21"/>
          <w:lang w:eastAsia="zh-CN"/>
        </w:rPr>
        <w:t>指就业人数≥</w:t>
      </w:r>
      <w:r>
        <w:rPr>
          <w:rFonts w:eastAsia="黑体"/>
          <w:snapToGrid/>
          <w:sz w:val="21"/>
          <w:lang w:eastAsia="zh-CN"/>
        </w:rPr>
        <w:t>15</w:t>
      </w:r>
      <w:r>
        <w:rPr>
          <w:rFonts w:ascii="黑体" w:hAnsi="黑体" w:eastAsia="黑体"/>
          <w:snapToGrid/>
          <w:sz w:val="21"/>
          <w:lang w:eastAsia="zh-CN"/>
        </w:rPr>
        <w:t>人的</w:t>
      </w:r>
      <w:r>
        <w:rPr>
          <w:rFonts w:hint="eastAsia" w:ascii="黑体" w:hAnsi="黑体" w:eastAsia="黑体"/>
          <w:snapToGrid/>
          <w:sz w:val="21"/>
          <w:lang w:eastAsia="zh-CN"/>
        </w:rPr>
        <w:t>职业</w:t>
      </w:r>
      <w:r>
        <w:rPr>
          <w:rFonts w:ascii="黑体" w:hAnsi="黑体" w:eastAsia="黑体"/>
          <w:snapToGrid/>
          <w:sz w:val="21"/>
          <w:lang w:eastAsia="zh-CN"/>
        </w:rPr>
        <w:t>。</w:t>
      </w:r>
    </w:p>
    <w:p>
      <w:pPr>
        <w:rPr>
          <w:snapToGrid/>
          <w:sz w:val="21"/>
          <w:lang w:eastAsia="zh-CN"/>
        </w:rPr>
      </w:pPr>
      <w:r>
        <w:rPr>
          <w:rFonts w:hint="eastAsia" w:ascii="仿宋" w:hAnsi="仿宋"/>
          <w:sz w:val="21"/>
          <w:lang w:eastAsia="zh-CN"/>
        </w:rPr>
        <w:t>数据来源：北京新锦成教育技术有限公司</w:t>
      </w:r>
    </w:p>
    <w:p>
      <w:pPr>
        <w:pStyle w:val="2"/>
        <w:ind w:firstLine="640"/>
        <w:rPr>
          <w:lang w:eastAsia="zh-CN"/>
        </w:rPr>
      </w:pPr>
      <w:bookmarkStart w:id="257" w:name="_Toc148372490"/>
      <w:bookmarkStart w:id="258" w:name="_Toc151887779"/>
      <w:bookmarkStart w:id="259" w:name="_Toc130307159"/>
      <w:r>
        <w:rPr>
          <w:rFonts w:hint="eastAsia"/>
          <w:lang w:eastAsia="zh-CN"/>
        </w:rPr>
        <w:t>四</w:t>
      </w:r>
      <w:r>
        <w:rPr>
          <w:lang w:eastAsia="zh-CN"/>
        </w:rPr>
        <w:t>、</w:t>
      </w:r>
      <w:r>
        <w:rPr>
          <w:rFonts w:hint="eastAsia"/>
          <w:lang w:eastAsia="zh-CN"/>
        </w:rPr>
        <w:t>就业单位特色</w:t>
      </w:r>
      <w:bookmarkEnd w:id="257"/>
      <w:bookmarkEnd w:id="258"/>
      <w:bookmarkEnd w:id="259"/>
    </w:p>
    <w:p>
      <w:pPr>
        <w:ind w:firstLine="640"/>
        <w:rPr>
          <w:lang w:eastAsia="zh-CN"/>
        </w:rPr>
      </w:pPr>
      <w:r>
        <w:rPr>
          <w:rFonts w:hint="eastAsia"/>
          <w:lang w:eastAsia="zh-CN"/>
        </w:rPr>
        <w:t>总体就业单位性质：本校</w:t>
      </w:r>
      <w:r>
        <w:rPr>
          <w:lang w:eastAsia="zh-CN"/>
        </w:rPr>
        <w:t>2022届</w:t>
      </w:r>
      <w:r>
        <w:rPr>
          <w:rFonts w:hint="eastAsia"/>
          <w:lang w:eastAsia="zh-CN"/>
        </w:rPr>
        <w:t>毕业生就业单位以</w:t>
      </w:r>
      <w:r>
        <w:rPr>
          <w:rFonts w:hint="eastAsia"/>
          <w:lang w:val="zh-CN" w:eastAsia="zh-CN"/>
        </w:rPr>
        <w:t>“民营企业/个体”为主，“医疗卫生单位”次之</w:t>
      </w:r>
      <w:r>
        <w:rPr>
          <w:rFonts w:hint="eastAsia"/>
          <w:lang w:eastAsia="zh-CN"/>
        </w:rPr>
        <w:t>。</w:t>
      </w:r>
    </w:p>
    <w:p>
      <w:pPr>
        <w:pBdr>
          <w:top w:val="none" w:color="000000" w:sz="0" w:space="0"/>
          <w:left w:val="none" w:color="000000" w:sz="0" w:space="0"/>
          <w:bottom w:val="none" w:color="000000" w:sz="0" w:space="0"/>
          <w:right w:val="none" w:color="000000" w:sz="0" w:space="0"/>
          <w:between w:val="none" w:color="000000" w:sz="0" w:space="0"/>
        </w:pBdr>
        <w:spacing w:before="163" w:after="156" w:line="360" w:lineRule="auto"/>
        <w:ind w:firstLine="480"/>
        <w:rPr>
          <w:rFonts w:eastAsia="Calibri"/>
          <w:color w:val="auto"/>
          <w:sz w:val="24"/>
          <w:lang w:eastAsia="zh-CN"/>
        </w:rPr>
      </w:pPr>
      <w:r>
        <w:rPr>
          <w:rFonts w:ascii="Calibri" w:hAnsi="Calibri" w:eastAsia="Calibri" w:cs="宋体"/>
          <w:sz w:val="24"/>
          <w:lang w:eastAsia="zh-CN"/>
        </w:rPr>
        <w:drawing>
          <wp:inline distT="0" distB="0" distL="0" distR="0">
            <wp:extent cx="5448300" cy="4438650"/>
            <wp:effectExtent l="0" t="0" r="0" b="0"/>
            <wp:docPr id="550"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260" w:name="_Toc129867558"/>
      <w:r>
        <w:rPr>
          <w:rFonts w:hint="eastAsia" w:eastAsia="黑体"/>
          <w:b/>
          <w:sz w:val="21"/>
          <w:lang w:eastAsia="zh-CN"/>
        </w:rPr>
        <w:t>图4.34</w:t>
      </w:r>
      <w:r>
        <w:rPr>
          <w:rFonts w:eastAsia="黑体"/>
          <w:b/>
          <w:sz w:val="21"/>
          <w:lang w:eastAsia="zh-CN"/>
        </w:rPr>
        <w:t xml:space="preserve"> </w:t>
      </w:r>
      <w:r>
        <w:rPr>
          <w:rFonts w:hint="eastAsia" w:eastAsia="黑体"/>
          <w:b/>
          <w:sz w:val="21"/>
          <w:lang w:eastAsia="zh-CN"/>
        </w:rPr>
        <w:t xml:space="preserve"> 2022届毕业生就业单位性质</w:t>
      </w:r>
      <w:r>
        <w:rPr>
          <w:rFonts w:eastAsia="黑体"/>
          <w:b/>
          <w:sz w:val="21"/>
          <w:lang w:eastAsia="zh-CN"/>
        </w:rPr>
        <w:t>分布</w:t>
      </w:r>
      <w:bookmarkEnd w:id="260"/>
      <w:r>
        <w:rPr>
          <w:rFonts w:hint="eastAsia" w:eastAsia="黑体"/>
          <w:b/>
          <w:sz w:val="21"/>
          <w:lang w:eastAsia="zh-CN"/>
        </w:rPr>
        <w:t xml:space="preserve"> </w:t>
      </w:r>
    </w:p>
    <w:p>
      <w:pPr>
        <w:rPr>
          <w:snapToGrid/>
          <w:sz w:val="21"/>
          <w:lang w:eastAsia="zh-CN"/>
        </w:rPr>
      </w:pPr>
      <w:r>
        <w:rPr>
          <w:rFonts w:hint="eastAsia" w:ascii="仿宋" w:hAnsi="仿宋"/>
          <w:sz w:val="21"/>
          <w:lang w:eastAsia="zh-CN"/>
        </w:rPr>
        <w:t>数据来源：北京新锦成教育技术有限公司</w:t>
      </w:r>
    </w:p>
    <w:p>
      <w:pPr>
        <w:pStyle w:val="3"/>
        <w:ind w:firstLine="643"/>
        <w:rPr>
          <w:lang w:eastAsia="zh-CN"/>
        </w:rPr>
      </w:pPr>
      <w:bookmarkStart w:id="261" w:name="_Toc130307160"/>
      <w:bookmarkStart w:id="262" w:name="_Toc148372491"/>
      <w:bookmarkStart w:id="263" w:name="_Toc151887780"/>
      <w:r>
        <w:rPr>
          <w:rFonts w:hint="eastAsia"/>
          <w:lang w:eastAsia="zh-CN"/>
        </w:rPr>
        <w:t>（一）</w:t>
      </w:r>
      <w:r>
        <w:rPr>
          <w:lang w:eastAsia="zh-CN"/>
        </w:rPr>
        <w:t>各</w:t>
      </w:r>
      <w:r>
        <w:rPr>
          <w:rFonts w:hint="eastAsia"/>
          <w:lang w:eastAsia="zh-CN"/>
        </w:rPr>
        <w:t>学院就业单位分布</w:t>
      </w:r>
      <w:bookmarkEnd w:id="261"/>
      <w:bookmarkEnd w:id="262"/>
      <w:bookmarkEnd w:id="263"/>
    </w:p>
    <w:p>
      <w:pPr>
        <w:ind w:firstLine="640"/>
        <w:rPr>
          <w:lang w:eastAsia="zh-CN"/>
        </w:rPr>
      </w:pPr>
      <w:r>
        <w:rPr>
          <w:rFonts w:hint="eastAsia"/>
          <w:lang w:eastAsia="zh-CN"/>
        </w:rPr>
        <w:t>各学院毕业生主要就业单位分布：如下表所示。</w:t>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264" w:name="_Toc129867559"/>
      <w:r>
        <w:rPr>
          <w:rFonts w:hint="eastAsia" w:eastAsia="黑体"/>
          <w:b/>
          <w:sz w:val="21"/>
          <w:lang w:eastAsia="zh-CN"/>
        </w:rPr>
        <w:t>表4.</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表2-2-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22</w:t>
      </w:r>
      <w:r>
        <w:rPr>
          <w:rFonts w:eastAsia="黑体"/>
          <w:b/>
          <w:sz w:val="21"/>
          <w:lang w:eastAsia="zh-CN"/>
        </w:rPr>
        <w:fldChar w:fldCharType="end"/>
      </w:r>
      <w:r>
        <w:rPr>
          <w:rFonts w:eastAsia="宋体"/>
          <w:b/>
          <w:sz w:val="24"/>
          <w:szCs w:val="24"/>
          <w:lang w:eastAsia="zh-CN"/>
        </w:rPr>
        <w:t xml:space="preserve">  </w:t>
      </w:r>
      <w:r>
        <w:rPr>
          <w:rFonts w:hint="eastAsia" w:eastAsia="宋体"/>
          <w:b/>
          <w:sz w:val="24"/>
          <w:szCs w:val="24"/>
          <w:lang w:eastAsia="zh-CN"/>
        </w:rPr>
        <w:t>2022届各学院毕业生就业单位性质分布</w:t>
      </w:r>
      <w:bookmarkEnd w:id="264"/>
    </w:p>
    <w:tbl>
      <w:tblPr>
        <w:tblStyle w:val="37"/>
        <w:tblW w:w="8926" w:type="dxa"/>
        <w:jc w:val="cente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autofit"/>
        <w:tblCellMar>
          <w:top w:w="0" w:type="dxa"/>
          <w:left w:w="108" w:type="dxa"/>
          <w:bottom w:w="0" w:type="dxa"/>
          <w:right w:w="108" w:type="dxa"/>
        </w:tblCellMar>
      </w:tblPr>
      <w:tblGrid>
        <w:gridCol w:w="1696"/>
        <w:gridCol w:w="7230"/>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jc w:val="center"/>
        </w:trPr>
        <w:tc>
          <w:tcPr>
            <w:tcW w:w="1696" w:type="dxa"/>
            <w:tcBorders>
              <w:top w:val="single" w:color="0F6FC6" w:sz="4" w:space="0"/>
              <w:left w:val="single" w:color="0F6FC6" w:sz="4" w:space="0"/>
              <w:bottom w:val="single" w:color="0F6FC6" w:sz="4" w:space="0"/>
              <w:right w:val="nil"/>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cs="微软雅黑"/>
                <w:b/>
                <w:bCs/>
                <w:snapToGrid/>
                <w:color w:val="CCE8CF"/>
                <w:sz w:val="21"/>
                <w:lang w:eastAsia="zh-CN"/>
              </w:rPr>
              <w:t>学院</w:t>
            </w:r>
          </w:p>
        </w:tc>
        <w:tc>
          <w:tcPr>
            <w:tcW w:w="7230" w:type="dxa"/>
            <w:tcBorders>
              <w:top w:val="single" w:color="0F6FC6" w:sz="4" w:space="0"/>
              <w:bottom w:val="single" w:color="0F6FC6" w:sz="4" w:space="0"/>
              <w:right w:val="single" w:color="0F6FC6"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cs="微软雅黑"/>
                <w:b/>
                <w:bCs/>
                <w:snapToGrid/>
                <w:color w:val="CCE8CF"/>
                <w:sz w:val="21"/>
                <w:lang w:eastAsia="zh-CN"/>
              </w:rPr>
              <w:t>主要就业单位</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696"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国际护理学院</w:t>
            </w:r>
          </w:p>
        </w:tc>
        <w:tc>
          <w:tcPr>
            <w:tcW w:w="7230"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医疗卫生单位（70.34%）、民营企业/个体（11.03%）、其他（10.34%）、其他事业单位（3.45%）、城镇社区（2.76%）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696"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城建学院</w:t>
            </w:r>
          </w:p>
        </w:tc>
        <w:tc>
          <w:tcPr>
            <w:tcW w:w="7230"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民营企业/个体（47.76%）、国有企业（22.39%）、其他（16.42%）、其他事业单位（10.45%）、部队（2.99%）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696"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设计学院</w:t>
            </w:r>
          </w:p>
        </w:tc>
        <w:tc>
          <w:tcPr>
            <w:tcW w:w="7230"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民营企业/个体（44.12%）、其他事业单位（20.59%）、其他（20.59%）、国有企业（5.88%）、城镇社区（5.88%）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696"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信息工程学院</w:t>
            </w:r>
          </w:p>
        </w:tc>
        <w:tc>
          <w:tcPr>
            <w:tcW w:w="7230"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民营企业/个体（42.50%）、其他（22.50%）、其他事业单位（12.50%）、党政机关（10.00%）、科研设计单位（2.50%）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696"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海事学院</w:t>
            </w:r>
          </w:p>
        </w:tc>
        <w:tc>
          <w:tcPr>
            <w:tcW w:w="7230"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民营企业/个体（36.84%）、国有企业（26.32%）、其他（21.05%）、其他事业单位（10.53%）、部队（5.26%）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696"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健康科学学院</w:t>
            </w:r>
          </w:p>
        </w:tc>
        <w:tc>
          <w:tcPr>
            <w:tcW w:w="7230"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医疗卫生单位（36.67%）、民营企业/个体（36.67%）、其他（16.67%）、其他事业单位（10.00%）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696"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财经学院</w:t>
            </w:r>
          </w:p>
        </w:tc>
        <w:tc>
          <w:tcPr>
            <w:tcW w:w="7230"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民营企业/个体（36.54%）、其他（26.92%）、其他事业单位（10.58%）、国有企业（10.58%）、党政机关（5.77%）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696"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化学与材料工程学院</w:t>
            </w:r>
          </w:p>
        </w:tc>
        <w:tc>
          <w:tcPr>
            <w:tcW w:w="7230"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民营企业/个体（35.71%）、其他事业单位（23.81%）、医疗卫生单位（19.05%）、国有企业（7.14%）、三资企业（中外合资经营企业、中外合作经营企业、外商独资经营企业）（7.14%）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696"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临床医药学院</w:t>
            </w:r>
          </w:p>
        </w:tc>
        <w:tc>
          <w:tcPr>
            <w:tcW w:w="7230"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其他（27.78%）、医疗卫生单位（26.67%）、民营企业/个体（10.00%）、党政机关（8.89%）、城镇社区（7.78%）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696"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机电工程学院</w:t>
            </w:r>
          </w:p>
        </w:tc>
        <w:tc>
          <w:tcPr>
            <w:tcW w:w="7230"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国有企业（27.38%）、民营企业/个体（27.38%）、其他（15.48%）、三资企业（中外合资经营企业、中外合作经营企业、外商独资经营企业）（7.14%）、党政机关（5.95%）</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1696"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传媒与音乐学院</w:t>
            </w:r>
          </w:p>
        </w:tc>
        <w:tc>
          <w:tcPr>
            <w:tcW w:w="7230"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*其他事业单位（40.00%）、国有企业（20.00%）、部队（20.00%）、其他（20.00%）</w:t>
            </w:r>
          </w:p>
        </w:tc>
      </w:tr>
    </w:tbl>
    <w:p>
      <w:pPr>
        <w:pBdr>
          <w:top w:val="none" w:color="000000" w:sz="0" w:space="0"/>
          <w:left w:val="none" w:color="000000" w:sz="0" w:space="0"/>
          <w:bottom w:val="none" w:color="000000" w:sz="0" w:space="0"/>
          <w:right w:val="none" w:color="000000" w:sz="0" w:space="0"/>
          <w:between w:val="none" w:color="000000" w:sz="0" w:space="0"/>
        </w:pBdr>
        <w:spacing w:before="163" w:after="163" w:line="240" w:lineRule="auto"/>
        <w:jc w:val="both"/>
        <w:rPr>
          <w:rFonts w:ascii="黑体" w:hAnsi="黑体" w:eastAsia="黑体"/>
          <w:sz w:val="21"/>
          <w:lang w:val="zh-CN" w:eastAsia="zh-CN"/>
        </w:rPr>
      </w:pPr>
      <w:r>
        <w:rPr>
          <w:rFonts w:hint="eastAsia" w:ascii="黑体" w:hAnsi="黑体" w:eastAsia="黑体"/>
          <w:sz w:val="21"/>
          <w:lang w:val="zh-CN" w:eastAsia="zh-CN"/>
        </w:rPr>
        <w:t>注：*</w:t>
      </w:r>
      <w:r>
        <w:rPr>
          <w:rFonts w:ascii="黑体" w:hAnsi="黑体" w:eastAsia="黑体"/>
          <w:sz w:val="21"/>
          <w:lang w:val="zh-CN" w:eastAsia="zh-CN"/>
        </w:rPr>
        <w:t>学院</w:t>
      </w:r>
      <w:r>
        <w:rPr>
          <w:rFonts w:hint="eastAsia" w:ascii="黑体" w:hAnsi="黑体" w:eastAsia="黑体"/>
          <w:sz w:val="21"/>
          <w:lang w:val="zh-CN" w:eastAsia="zh-CN"/>
        </w:rPr>
        <w:t>样本量较小，其分析结果仅供参考，不纳入到报告此处分析范畴。</w:t>
      </w:r>
    </w:p>
    <w:p>
      <w:pPr>
        <w:rPr>
          <w:snapToGrid/>
          <w:sz w:val="21"/>
          <w:lang w:eastAsia="zh-CN"/>
        </w:rPr>
      </w:pPr>
      <w:r>
        <w:rPr>
          <w:rFonts w:hint="eastAsia" w:ascii="仿宋" w:hAnsi="仿宋"/>
          <w:sz w:val="21"/>
          <w:lang w:eastAsia="zh-CN"/>
        </w:rPr>
        <w:t>数据来源：北京新锦成教育技术有限公司</w:t>
      </w:r>
    </w:p>
    <w:p>
      <w:pPr>
        <w:pStyle w:val="3"/>
        <w:ind w:firstLine="643"/>
        <w:rPr>
          <w:lang w:eastAsia="zh-CN"/>
        </w:rPr>
      </w:pPr>
      <w:bookmarkStart w:id="265" w:name="_Toc148372492"/>
      <w:bookmarkStart w:id="266" w:name="_Toc151887781"/>
      <w:bookmarkStart w:id="267" w:name="_Toc130307161"/>
      <w:r>
        <w:rPr>
          <w:rFonts w:hint="eastAsia"/>
          <w:lang w:eastAsia="zh-CN"/>
        </w:rPr>
        <w:t>（二）</w:t>
      </w:r>
      <w:r>
        <w:rPr>
          <w:lang w:eastAsia="zh-CN"/>
        </w:rPr>
        <w:t>各</w:t>
      </w:r>
      <w:r>
        <w:rPr>
          <w:rFonts w:hint="eastAsia"/>
          <w:lang w:eastAsia="zh-CN"/>
        </w:rPr>
        <w:t>专业就业单位分布</w:t>
      </w:r>
      <w:bookmarkEnd w:id="265"/>
      <w:bookmarkEnd w:id="266"/>
      <w:bookmarkEnd w:id="267"/>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268" w:name="_Toc129867561"/>
      <w:r>
        <w:rPr>
          <w:rFonts w:hint="eastAsia" w:eastAsia="黑体"/>
          <w:b/>
          <w:sz w:val="21"/>
          <w:lang w:eastAsia="zh-CN"/>
        </w:rPr>
        <w:t>表4.</w:t>
      </w:r>
      <w:r>
        <w:rPr>
          <w:rFonts w:eastAsia="黑体"/>
          <w:b/>
          <w:sz w:val="21"/>
          <w:lang w:eastAsia="zh-CN"/>
        </w:rPr>
        <w:fldChar w:fldCharType="begin"/>
      </w:r>
      <w:r>
        <w:rPr>
          <w:rFonts w:eastAsia="黑体"/>
          <w:b/>
          <w:sz w:val="21"/>
          <w:lang w:eastAsia="zh-CN"/>
        </w:rPr>
        <w:instrText xml:space="preserve"> </w:instrText>
      </w:r>
      <w:r>
        <w:rPr>
          <w:rFonts w:hint="eastAsia" w:eastAsia="黑体"/>
          <w:b/>
          <w:sz w:val="21"/>
          <w:lang w:eastAsia="zh-CN"/>
        </w:rPr>
        <w:instrText xml:space="preserve">SEQ 表2-2- \* ARABIC</w:instrText>
      </w:r>
      <w:r>
        <w:rPr>
          <w:rFonts w:eastAsia="黑体"/>
          <w:b/>
          <w:sz w:val="21"/>
          <w:lang w:eastAsia="zh-CN"/>
        </w:rPr>
        <w:instrText xml:space="preserve"> </w:instrText>
      </w:r>
      <w:r>
        <w:rPr>
          <w:rFonts w:eastAsia="黑体"/>
          <w:b/>
          <w:sz w:val="21"/>
          <w:lang w:eastAsia="zh-CN"/>
        </w:rPr>
        <w:fldChar w:fldCharType="separate"/>
      </w:r>
      <w:r>
        <w:rPr>
          <w:rFonts w:eastAsia="黑体"/>
          <w:b/>
          <w:sz w:val="21"/>
          <w:lang w:eastAsia="zh-CN"/>
        </w:rPr>
        <w:t>23</w:t>
      </w:r>
      <w:r>
        <w:rPr>
          <w:rFonts w:eastAsia="黑体"/>
          <w:b/>
          <w:sz w:val="21"/>
          <w:lang w:eastAsia="zh-CN"/>
        </w:rPr>
        <w:fldChar w:fldCharType="end"/>
      </w:r>
      <w:r>
        <w:rPr>
          <w:rFonts w:eastAsia="宋体"/>
          <w:b/>
          <w:sz w:val="24"/>
          <w:szCs w:val="24"/>
          <w:lang w:eastAsia="zh-CN"/>
        </w:rPr>
        <w:t xml:space="preserve">  2022届各专业</w:t>
      </w:r>
      <w:r>
        <w:rPr>
          <w:rFonts w:hint="eastAsia" w:eastAsia="宋体"/>
          <w:b/>
          <w:sz w:val="24"/>
          <w:szCs w:val="24"/>
          <w:lang w:eastAsia="zh-CN"/>
        </w:rPr>
        <w:t>毕业生</w:t>
      </w:r>
      <w:r>
        <w:rPr>
          <w:rFonts w:eastAsia="宋体"/>
          <w:b/>
          <w:sz w:val="24"/>
          <w:szCs w:val="24"/>
          <w:lang w:eastAsia="zh-CN"/>
        </w:rPr>
        <w:t>就业单位性质分布</w:t>
      </w:r>
      <w:bookmarkEnd w:id="268"/>
    </w:p>
    <w:tbl>
      <w:tblPr>
        <w:tblStyle w:val="37"/>
        <w:tblW w:w="5087" w:type="pct"/>
        <w:jc w:val="cente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Layout w:type="fixed"/>
        <w:tblCellMar>
          <w:top w:w="0" w:type="dxa"/>
          <w:left w:w="108" w:type="dxa"/>
          <w:bottom w:w="0" w:type="dxa"/>
          <w:right w:w="108" w:type="dxa"/>
        </w:tblCellMar>
      </w:tblPr>
      <w:tblGrid>
        <w:gridCol w:w="2414"/>
        <w:gridCol w:w="7721"/>
      </w:tblGrid>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tblHeader/>
          <w:jc w:val="center"/>
        </w:trPr>
        <w:tc>
          <w:tcPr>
            <w:tcW w:w="2127" w:type="dxa"/>
            <w:tcBorders>
              <w:top w:val="single" w:color="0F6FC6" w:sz="4" w:space="0"/>
              <w:left w:val="single" w:color="0F6FC6" w:sz="4" w:space="0"/>
              <w:bottom w:val="single" w:color="0F6FC6" w:sz="4" w:space="0"/>
              <w:right w:val="nil"/>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cs="微软雅黑"/>
                <w:b/>
                <w:bCs/>
                <w:snapToGrid/>
                <w:color w:val="CCE8CF"/>
                <w:sz w:val="21"/>
                <w:lang w:eastAsia="zh-CN"/>
              </w:rPr>
              <w:t>专业</w:t>
            </w:r>
          </w:p>
        </w:tc>
        <w:tc>
          <w:tcPr>
            <w:tcW w:w="6804" w:type="dxa"/>
            <w:tcBorders>
              <w:top w:val="single" w:color="0F6FC6" w:sz="4" w:space="0"/>
              <w:bottom w:val="single" w:color="0F6FC6" w:sz="4" w:space="0"/>
              <w:right w:val="single" w:color="0F6FC6" w:sz="4" w:space="0"/>
              <w:insideV w:val="nil"/>
            </w:tcBorders>
            <w:shd w:val="clear" w:color="auto" w:fill="0F6FC6"/>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ascii="宋体" w:hAnsi="宋体" w:eastAsia="宋体"/>
                <w:b w:val="0"/>
                <w:bCs w:val="0"/>
                <w:snapToGrid/>
                <w:color w:val="CCE8CF"/>
                <w:sz w:val="21"/>
                <w:lang w:eastAsia="zh-CN"/>
              </w:rPr>
            </w:pPr>
            <w:r>
              <w:rPr>
                <w:rFonts w:hint="eastAsia" w:ascii="宋体" w:hAnsi="宋体" w:eastAsia="宋体" w:cs="微软雅黑"/>
                <w:b/>
                <w:bCs/>
                <w:snapToGrid/>
                <w:color w:val="CCE8CF"/>
                <w:sz w:val="21"/>
                <w:lang w:eastAsia="zh-CN"/>
              </w:rPr>
              <w:t>主要就业单位</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7"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石油化工技术</w:t>
            </w:r>
          </w:p>
        </w:tc>
        <w:tc>
          <w:tcPr>
            <w:tcW w:w="6804"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民营企业/个体（75.00%）、国有企业（25.00%）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7"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护理</w:t>
            </w:r>
          </w:p>
        </w:tc>
        <w:tc>
          <w:tcPr>
            <w:tcW w:w="6804"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医疗卫生单位（70.00%）、民营企业/个体（11.43%）、其他（10.71%）、其他事业单位（2.86%）、城镇社区（2.86%）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7"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药品生产技术</w:t>
            </w:r>
          </w:p>
        </w:tc>
        <w:tc>
          <w:tcPr>
            <w:tcW w:w="6804"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医疗卫生单位（66.67%）、民营企业/个体（33.33%）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7"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环境艺术设计</w:t>
            </w:r>
          </w:p>
        </w:tc>
        <w:tc>
          <w:tcPr>
            <w:tcW w:w="6804"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民营企业/个体（66.67%）、其他（22.22%）、其他事业单位（11.11%）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7"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snapToGrid/>
                <w:sz w:val="21"/>
                <w:lang w:eastAsia="zh-CN"/>
              </w:rPr>
            </w:pPr>
            <w:r>
              <w:rPr>
                <w:rFonts w:hint="eastAsia" w:eastAsia="宋体"/>
                <w:b w:val="0"/>
                <w:bCs/>
                <w:snapToGrid/>
                <w:sz w:val="21"/>
                <w:lang w:eastAsia="zh-CN"/>
              </w:rPr>
              <w:t>机械设计与制造</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（中高职转段）</w:t>
            </w:r>
          </w:p>
        </w:tc>
        <w:tc>
          <w:tcPr>
            <w:tcW w:w="6804"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国有企业（62.50%）、民营企业/个体（25.00%）、其他（12.50%）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7"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艺术设计</w:t>
            </w:r>
          </w:p>
        </w:tc>
        <w:tc>
          <w:tcPr>
            <w:tcW w:w="6804"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民营企业/个体（58.33%）、其他事业单位（33.33%）、其他（8.33%）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7"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食品营养与检测</w:t>
            </w:r>
          </w:p>
        </w:tc>
        <w:tc>
          <w:tcPr>
            <w:tcW w:w="6804"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其他事业单位（55.56%）、三资企业（中外合资经营企业、中外合作经营企业、外商独资经营企业）（16.67%）、中初教育单位（11.11%）、民营企业/个体（11.11%）、其他（5.56%）</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7"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软件技术</w:t>
            </w:r>
          </w:p>
        </w:tc>
        <w:tc>
          <w:tcPr>
            <w:tcW w:w="6804"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民营企业/个体（53.33%）、其他事业单位（20.00%）、其他（20.00%）、科研设计单位（6.67%）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7"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工程造价</w:t>
            </w:r>
          </w:p>
        </w:tc>
        <w:tc>
          <w:tcPr>
            <w:tcW w:w="6804"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民营企业/个体（51.85%）、国有企业（18.52%）、其他（18.52%）、其他事业单位（11.11%）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7"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烹调工艺与营养</w:t>
            </w:r>
          </w:p>
        </w:tc>
        <w:tc>
          <w:tcPr>
            <w:tcW w:w="6804"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民营企业/个体（50.00%）、其他（30.00%）、中初教育单位（10.00%）、其他事业单位（10.00%）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7"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风景园林设计</w:t>
            </w:r>
          </w:p>
        </w:tc>
        <w:tc>
          <w:tcPr>
            <w:tcW w:w="6804"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其他事业单位（50.00%）、城镇社区（25.00%）、其他（25.00%）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7"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计算机网络技术</w:t>
            </w:r>
          </w:p>
        </w:tc>
        <w:tc>
          <w:tcPr>
            <w:tcW w:w="6804"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民营企业/个体（46.15%）、其他（30.77%）、其他事业单位（7.69%）、三资企业（中外合资经营企业、中外合作经营企业、外商独资经营企业）（7.69%）、农村建制村（7.69%）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7"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航海技术</w:t>
            </w:r>
          </w:p>
        </w:tc>
        <w:tc>
          <w:tcPr>
            <w:tcW w:w="6804"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民营企业/个体（45.45%）、其他（36.36%）、国有企业（18.18%）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7"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机电一体化技术</w:t>
            </w:r>
          </w:p>
        </w:tc>
        <w:tc>
          <w:tcPr>
            <w:tcW w:w="6804"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国有企业（42.86%）、民营企业/个体（28.57%）、城镇社区（14.29%）、其他（14.29%）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7"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社区康复</w:t>
            </w:r>
          </w:p>
        </w:tc>
        <w:tc>
          <w:tcPr>
            <w:tcW w:w="6804"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医疗卫生单位（41.67%）、民营企业/个体（33.33%）、其他（25.00%）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7"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中药学</w:t>
            </w:r>
          </w:p>
        </w:tc>
        <w:tc>
          <w:tcPr>
            <w:tcW w:w="6804"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其他（41.18%）、民营企业/个体（20.59%）、医疗卫生单位（11.76%）、城镇社区（11.76%）、党政机关（8.82%）</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7"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物流管理</w:t>
            </w:r>
          </w:p>
        </w:tc>
        <w:tc>
          <w:tcPr>
            <w:tcW w:w="6804"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民营企业/个体（40.00%）、其他（26.67%）、国有企业（20.00%）、党政机关（6.67%）、其他事业单位（6.67%）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7"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工商企业管理</w:t>
            </w:r>
          </w:p>
        </w:tc>
        <w:tc>
          <w:tcPr>
            <w:tcW w:w="6804"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民营企业/个体（40.00%）、其他（26.67%）、党政机关（6.67%）、其他事业单位（6.67%）、国有企业（6.67%）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7"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健康管理</w:t>
            </w:r>
          </w:p>
        </w:tc>
        <w:tc>
          <w:tcPr>
            <w:tcW w:w="6804"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民营企业/个体（38.89%）、医疗卫生单位（33.33%）、其他事业单位（16.67%）、其他（11.11%）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7"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金融管理</w:t>
            </w:r>
          </w:p>
        </w:tc>
        <w:tc>
          <w:tcPr>
            <w:tcW w:w="6804"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民营企业/个体（37.50%）、其他（37.50%）、其他事业单位（12.50%）、城镇社区（12.50%）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7"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会计</w:t>
            </w:r>
          </w:p>
        </w:tc>
        <w:tc>
          <w:tcPr>
            <w:tcW w:w="6804"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民营企业/个体（37.50%）、其他（28.13%）、党政机关（9.38%）、其他事业单位（9.38%）、国有企业（9.38%）</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7"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电气自动化技术</w:t>
            </w:r>
          </w:p>
        </w:tc>
        <w:tc>
          <w:tcPr>
            <w:tcW w:w="6804"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国有企业（36.36%）、民营企业/个体（36.36%）、党政机关（9.09%）、其他事业单位（9.09%）、其他（9.09%）</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7"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口腔医学技术</w:t>
            </w:r>
          </w:p>
        </w:tc>
        <w:tc>
          <w:tcPr>
            <w:tcW w:w="6804"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医疗卫生单位（35.71%）、其他（19.64%）、党政机关（8.93%）、高等教育单位（7.14%）、其他事业单位（7.14%）</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7"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建筑工程技术</w:t>
            </w:r>
          </w:p>
        </w:tc>
        <w:tc>
          <w:tcPr>
            <w:tcW w:w="6804"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国有企业（34.48%）、民营企业/个体（34.48%）、其他（13.79%）、其他事业单位（10.34%）、部队（6.90%）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7"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传播与策划</w:t>
            </w:r>
          </w:p>
        </w:tc>
        <w:tc>
          <w:tcPr>
            <w:tcW w:w="6804"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其他（33.33%）、国有企业（22.22%）、民营企业/个体（22.22%）、党政机关（11.11%）、城镇社区（11.11%）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7"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新能源汽车技术</w:t>
            </w:r>
          </w:p>
        </w:tc>
        <w:tc>
          <w:tcPr>
            <w:tcW w:w="6804"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民营企业/个体（33.33%）、国有企业（23.33%）、其他事业单位（10.00%）、其他（10.00%）、党政机关（6.67%）</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7"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旅游管理</w:t>
            </w:r>
          </w:p>
        </w:tc>
        <w:tc>
          <w:tcPr>
            <w:tcW w:w="6804"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其他事业单位（30.00%）、民营企业/个体（30.00%）、其他（20.00%）、高等教育单位（10.00%）、国有企业（10.00%）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7"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市场营销</w:t>
            </w:r>
          </w:p>
        </w:tc>
        <w:tc>
          <w:tcPr>
            <w:tcW w:w="6804"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其他（30.00%）、国有企业（20.00%）、党政机关（10.00%）、中初教育单位（10.00%）、其他事业单位（10.00%）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7"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汽车检测与维修技术</w:t>
            </w:r>
          </w:p>
        </w:tc>
        <w:tc>
          <w:tcPr>
            <w:tcW w:w="6804"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民营企业/个体（16.67%）、三资企业（中外合资经营企业、中外合作经营企业、外商独资经营企业）（16.67%）、其他（16.67%）、党政机关（11.11%）、部队（11.11%）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7"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体育运营与管理</w:t>
            </w:r>
          </w:p>
        </w:tc>
        <w:tc>
          <w:tcPr>
            <w:tcW w:w="6804"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*其他事业单位（100.00%）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7"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助产</w:t>
            </w:r>
          </w:p>
        </w:tc>
        <w:tc>
          <w:tcPr>
            <w:tcW w:w="6804"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*医疗卫生单位（80.00%）、其他事业单位（20.00%）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7"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国际邮轮乘务管理</w:t>
            </w:r>
          </w:p>
        </w:tc>
        <w:tc>
          <w:tcPr>
            <w:tcW w:w="6804"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*其他事业单位（33.33%）、国有企业（33.33%）、民营企业/个体（33.33%）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7"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大数据技术与应用</w:t>
            </w:r>
          </w:p>
        </w:tc>
        <w:tc>
          <w:tcPr>
            <w:tcW w:w="6804"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*党政机关（44.44%）、民营企业/个体（22.22%）、其他事业单位（11.11%）、部队（11.11%）、其他（11.11%）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7"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工业机器人技术</w:t>
            </w:r>
          </w:p>
        </w:tc>
        <w:tc>
          <w:tcPr>
            <w:tcW w:w="6804"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*民营企业/个体（100.00%）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7"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建筑装饰工程技术</w:t>
            </w:r>
          </w:p>
        </w:tc>
        <w:tc>
          <w:tcPr>
            <w:tcW w:w="6804"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*民营企业/个体（100.00%）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7"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建筑设计</w:t>
            </w:r>
          </w:p>
        </w:tc>
        <w:tc>
          <w:tcPr>
            <w:tcW w:w="6804"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*民营企业/个体（66.67%）、其他（22.22%）、其他事业单位（11.11%）</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7"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机械设计与制造</w:t>
            </w:r>
          </w:p>
        </w:tc>
        <w:tc>
          <w:tcPr>
            <w:tcW w:w="6804"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*其他（75.00%）、国有企业（25.00%）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7"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机电一体化技术（中高职转段）</w:t>
            </w:r>
          </w:p>
        </w:tc>
        <w:tc>
          <w:tcPr>
            <w:tcW w:w="6804"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*国有企业（40.00%）、民营企业/个体（20.00%）、三资企业（中外合资经营企业、中外合作经营企业、外商独资经营企业）（20.00%）、其他（20.00%）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7"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水路运输与海事管理</w:t>
            </w:r>
          </w:p>
        </w:tc>
        <w:tc>
          <w:tcPr>
            <w:tcW w:w="6804"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*国有企业（33.33%）、民营企业/个体（33.33%）、部队（33.33%）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7"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电子商务</w:t>
            </w:r>
          </w:p>
        </w:tc>
        <w:tc>
          <w:tcPr>
            <w:tcW w:w="6804"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*民营企业/个体（33.33%）、城镇社区（33.33%）、其他（33.33%）</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7"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轮机工程技术</w:t>
            </w:r>
          </w:p>
        </w:tc>
        <w:tc>
          <w:tcPr>
            <w:tcW w:w="6804"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*国有企业（100.00%）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7"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酒店管理</w:t>
            </w:r>
          </w:p>
        </w:tc>
        <w:tc>
          <w:tcPr>
            <w:tcW w:w="6804" w:type="dx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*民营企业/个体（75.00%）、国有企业（25.00%）</w:t>
            </w:r>
          </w:p>
        </w:tc>
      </w:tr>
      <w:tr>
        <w:tblPrEx>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CellMar>
            <w:top w:w="0" w:type="dxa"/>
            <w:left w:w="108" w:type="dxa"/>
            <w:bottom w:w="0" w:type="dxa"/>
            <w:right w:w="108" w:type="dxa"/>
          </w:tblCellMar>
        </w:tblPrEx>
        <w:trPr>
          <w:jc w:val="center"/>
        </w:trPr>
        <w:tc>
          <w:tcPr>
            <w:tcW w:w="2127"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b w:val="0"/>
                <w:bCs w:val="0"/>
                <w:snapToGrid/>
                <w:sz w:val="21"/>
                <w:lang w:eastAsia="zh-CN"/>
              </w:rPr>
            </w:pPr>
            <w:r>
              <w:rPr>
                <w:rFonts w:hint="eastAsia" w:eastAsia="宋体"/>
                <w:b w:val="0"/>
                <w:bCs/>
                <w:snapToGrid/>
                <w:sz w:val="21"/>
                <w:lang w:eastAsia="zh-CN"/>
              </w:rPr>
              <w:t>音乐表演</w:t>
            </w:r>
          </w:p>
        </w:tc>
        <w:tc>
          <w:tcPr>
            <w:tcW w:w="6804" w:type="dxa"/>
            <w:shd w:val="clear" w:color="auto" w:fill="C7E2FA"/>
            <w:vAlign w:val="center"/>
          </w:tcPr>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both"/>
              <w:textAlignment w:val="auto"/>
              <w:rPr>
                <w:rFonts w:eastAsia="宋体"/>
                <w:snapToGrid/>
                <w:sz w:val="21"/>
                <w:lang w:eastAsia="zh-CN"/>
              </w:rPr>
            </w:pPr>
            <w:r>
              <w:rPr>
                <w:rFonts w:hint="eastAsia" w:eastAsia="宋体"/>
                <w:snapToGrid/>
                <w:sz w:val="21"/>
                <w:lang w:eastAsia="zh-CN"/>
              </w:rPr>
              <w:t>*其他事业单位（40.00%）、国有企业（20.00%）、部队（20.00%）、其他（20.00%）</w:t>
            </w:r>
          </w:p>
        </w:tc>
      </w:tr>
    </w:tbl>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Chars="0"/>
        <w:jc w:val="both"/>
        <w:textAlignment w:val="auto"/>
        <w:rPr>
          <w:rFonts w:ascii="黑体" w:hAnsi="黑体" w:eastAsia="黑体"/>
          <w:snapToGrid/>
          <w:sz w:val="21"/>
          <w:lang w:eastAsia="zh-CN"/>
        </w:rPr>
      </w:pPr>
      <w:r>
        <w:rPr>
          <w:rFonts w:ascii="黑体" w:hAnsi="黑体" w:eastAsia="黑体"/>
          <w:snapToGrid/>
          <w:sz w:val="21"/>
          <w:lang w:eastAsia="zh-CN"/>
        </w:rPr>
        <w:t>注：</w:t>
      </w:r>
      <w:r>
        <w:rPr>
          <w:rFonts w:hint="eastAsia" w:ascii="黑体" w:hAnsi="黑体" w:eastAsia="黑体"/>
          <w:snapToGrid/>
          <w:sz w:val="21"/>
          <w:lang w:eastAsia="zh-CN"/>
        </w:rPr>
        <w:t>*</w:t>
      </w:r>
      <w:r>
        <w:rPr>
          <w:rFonts w:ascii="黑体" w:hAnsi="黑体" w:eastAsia="黑体"/>
          <w:snapToGrid/>
          <w:sz w:val="21"/>
          <w:lang w:eastAsia="zh-CN"/>
        </w:rPr>
        <w:t>专业样本量较小，</w:t>
      </w:r>
      <w:r>
        <w:rPr>
          <w:rFonts w:hint="eastAsia" w:ascii="黑体" w:hAnsi="黑体" w:eastAsia="黑体"/>
          <w:snapToGrid/>
          <w:sz w:val="21"/>
          <w:lang w:eastAsia="zh-CN"/>
        </w:rPr>
        <w:t>其分析结果仅供参考，</w:t>
      </w:r>
      <w:r>
        <w:rPr>
          <w:rFonts w:ascii="黑体" w:hAnsi="黑体" w:eastAsia="黑体"/>
          <w:snapToGrid/>
          <w:sz w:val="21"/>
          <w:lang w:eastAsia="zh-CN"/>
        </w:rPr>
        <w:t>不纳入到报告</w:t>
      </w:r>
      <w:r>
        <w:rPr>
          <w:rFonts w:hint="eastAsia" w:ascii="黑体" w:hAnsi="黑体" w:eastAsia="黑体"/>
          <w:snapToGrid/>
          <w:sz w:val="21"/>
          <w:lang w:eastAsia="zh-CN"/>
        </w:rPr>
        <w:t>此处</w:t>
      </w:r>
      <w:r>
        <w:rPr>
          <w:rFonts w:ascii="黑体" w:hAnsi="黑体" w:eastAsia="黑体"/>
          <w:snapToGrid/>
          <w:sz w:val="21"/>
          <w:lang w:eastAsia="zh-CN"/>
        </w:rPr>
        <w:t>分析范畴。</w:t>
      </w:r>
    </w:p>
    <w:p>
      <w:pPr>
        <w:rPr>
          <w:snapToGrid/>
          <w:sz w:val="21"/>
          <w:lang w:eastAsia="zh-CN"/>
        </w:rPr>
      </w:pPr>
      <w:r>
        <w:rPr>
          <w:rFonts w:hint="eastAsia" w:ascii="仿宋" w:hAnsi="仿宋"/>
          <w:sz w:val="21"/>
          <w:lang w:eastAsia="zh-CN"/>
        </w:rPr>
        <w:t>数据来源：北京新锦成教育技术有限公司</w:t>
      </w:r>
    </w:p>
    <w:p>
      <w:pPr>
        <w:pStyle w:val="3"/>
        <w:ind w:firstLine="643"/>
        <w:rPr>
          <w:lang w:eastAsia="zh-CN"/>
        </w:rPr>
      </w:pPr>
      <w:bookmarkStart w:id="269" w:name="_Toc130307162"/>
      <w:bookmarkStart w:id="270" w:name="_Toc148372493"/>
      <w:bookmarkStart w:id="271" w:name="_Toc151887782"/>
      <w:r>
        <w:rPr>
          <w:rFonts w:hint="eastAsia"/>
          <w:lang w:eastAsia="zh-CN"/>
        </w:rPr>
        <w:t>（三）主要就业单位就业质量差异分析</w:t>
      </w:r>
      <w:bookmarkEnd w:id="269"/>
      <w:bookmarkEnd w:id="270"/>
      <w:bookmarkEnd w:id="271"/>
    </w:p>
    <w:p>
      <w:pPr>
        <w:ind w:firstLine="640"/>
        <w:rPr>
          <w:lang w:eastAsia="zh-CN"/>
        </w:rPr>
      </w:pPr>
      <w:r>
        <w:rPr>
          <w:rFonts w:hint="eastAsia"/>
          <w:lang w:eastAsia="zh-CN"/>
        </w:rPr>
        <w:t>主要就业单位月均收入：就业于国有企业（5307元）、党政机关（5150元）的毕业生薪酬优势较高；而就业于城镇社区（3694元）的毕业生月均收入较低。</w:t>
      </w:r>
    </w:p>
    <w:p>
      <w:pPr>
        <w:pBdr>
          <w:top w:val="none" w:color="000000" w:sz="0" w:space="0"/>
          <w:left w:val="none" w:color="000000" w:sz="0" w:space="0"/>
          <w:bottom w:val="none" w:color="000000" w:sz="0" w:space="0"/>
          <w:right w:val="none" w:color="000000" w:sz="0" w:space="0"/>
          <w:between w:val="none" w:color="000000" w:sz="0" w:space="0"/>
        </w:pBdr>
        <w:spacing w:line="360" w:lineRule="auto"/>
        <w:ind w:firstLine="480"/>
        <w:jc w:val="center"/>
        <w:rPr>
          <w:rFonts w:eastAsia="Calibri" w:cs="宋体"/>
          <w:sz w:val="24"/>
          <w:lang w:eastAsia="zh-CN"/>
        </w:rPr>
      </w:pPr>
      <w:r>
        <w:rPr>
          <w:rFonts w:eastAsia="Calibri" w:cs="宋体"/>
          <w:sz w:val="24"/>
          <w:lang w:eastAsia="zh-CN"/>
        </w:rPr>
        <w:drawing>
          <wp:inline distT="0" distB="0" distL="0" distR="0">
            <wp:extent cx="5018405" cy="3449320"/>
            <wp:effectExtent l="0" t="0" r="0" b="2540"/>
            <wp:docPr id="551"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272" w:name="_Toc129867563"/>
      <w:r>
        <w:rPr>
          <w:rFonts w:hint="eastAsia" w:eastAsia="黑体"/>
          <w:b/>
          <w:sz w:val="21"/>
          <w:lang w:eastAsia="zh-CN"/>
        </w:rPr>
        <w:t>图4.35</w:t>
      </w:r>
      <w:r>
        <w:rPr>
          <w:rFonts w:eastAsia="黑体"/>
          <w:b/>
          <w:sz w:val="21"/>
          <w:lang w:eastAsia="zh-CN"/>
        </w:rPr>
        <w:t xml:space="preserve"> </w:t>
      </w:r>
      <w:r>
        <w:rPr>
          <w:rFonts w:hint="eastAsia" w:eastAsia="黑体"/>
          <w:b/>
          <w:sz w:val="21"/>
          <w:lang w:eastAsia="zh-CN"/>
        </w:rPr>
        <w:t xml:space="preserve"> 2022届毕业生主要就业单位月均收入</w:t>
      </w:r>
      <w:r>
        <w:rPr>
          <w:rFonts w:eastAsia="黑体"/>
          <w:b/>
          <w:sz w:val="21"/>
          <w:lang w:eastAsia="zh-CN"/>
        </w:rPr>
        <w:t>分布</w:t>
      </w:r>
      <w:r>
        <w:rPr>
          <w:rFonts w:hint="eastAsia" w:eastAsia="黑体"/>
          <w:b/>
          <w:sz w:val="21"/>
          <w:lang w:eastAsia="zh-CN"/>
        </w:rPr>
        <w:t xml:space="preserve"> （单位</w:t>
      </w:r>
      <w:r>
        <w:rPr>
          <w:rFonts w:eastAsia="黑体"/>
          <w:b/>
          <w:sz w:val="21"/>
          <w:lang w:eastAsia="zh-CN"/>
        </w:rPr>
        <w:t>：元</w:t>
      </w:r>
      <w:r>
        <w:rPr>
          <w:rFonts w:hint="eastAsia" w:eastAsia="黑体"/>
          <w:b/>
          <w:sz w:val="21"/>
          <w:lang w:eastAsia="zh-CN"/>
        </w:rPr>
        <w:t>）</w:t>
      </w:r>
      <w:bookmarkEnd w:id="272"/>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Chars="0"/>
        <w:jc w:val="both"/>
        <w:textAlignment w:val="auto"/>
        <w:rPr>
          <w:rFonts w:ascii="黑体" w:hAnsi="黑体" w:eastAsia="黑体"/>
          <w:snapToGrid/>
          <w:sz w:val="21"/>
          <w:lang w:eastAsia="zh-CN"/>
        </w:rPr>
      </w:pPr>
      <w:r>
        <w:rPr>
          <w:rFonts w:ascii="黑体" w:hAnsi="黑体" w:eastAsia="黑体"/>
          <w:snapToGrid/>
          <w:sz w:val="21"/>
          <w:lang w:eastAsia="zh-CN"/>
        </w:rPr>
        <w:t>注：主要就业</w:t>
      </w:r>
      <w:r>
        <w:rPr>
          <w:rFonts w:hint="eastAsia" w:ascii="黑体" w:hAnsi="黑体" w:eastAsia="黑体"/>
          <w:snapToGrid/>
          <w:sz w:val="21"/>
          <w:lang w:eastAsia="zh-CN"/>
        </w:rPr>
        <w:t>单位</w:t>
      </w:r>
      <w:r>
        <w:rPr>
          <w:rFonts w:ascii="黑体" w:hAnsi="黑体" w:eastAsia="黑体"/>
          <w:snapToGrid/>
          <w:sz w:val="21"/>
          <w:lang w:eastAsia="zh-CN"/>
        </w:rPr>
        <w:t>指就业人数≥</w:t>
      </w:r>
      <w:r>
        <w:rPr>
          <w:rFonts w:eastAsia="黑体"/>
          <w:snapToGrid/>
          <w:sz w:val="21"/>
          <w:lang w:eastAsia="zh-CN"/>
        </w:rPr>
        <w:t>20</w:t>
      </w:r>
      <w:r>
        <w:rPr>
          <w:rFonts w:ascii="黑体" w:hAnsi="黑体" w:eastAsia="黑体"/>
          <w:snapToGrid/>
          <w:sz w:val="21"/>
          <w:lang w:eastAsia="zh-CN"/>
        </w:rPr>
        <w:t>人的</w:t>
      </w:r>
      <w:r>
        <w:rPr>
          <w:rFonts w:hint="eastAsia" w:ascii="黑体" w:hAnsi="黑体" w:eastAsia="黑体"/>
          <w:snapToGrid/>
          <w:sz w:val="21"/>
          <w:lang w:eastAsia="zh-CN"/>
        </w:rPr>
        <w:t>单位</w:t>
      </w:r>
      <w:r>
        <w:rPr>
          <w:rFonts w:ascii="黑体" w:hAnsi="黑体" w:eastAsia="黑体"/>
          <w:snapToGrid/>
          <w:sz w:val="21"/>
          <w:lang w:eastAsia="zh-CN"/>
        </w:rPr>
        <w:t>。</w:t>
      </w:r>
    </w:p>
    <w:p>
      <w:pPr>
        <w:rPr>
          <w:snapToGrid/>
          <w:sz w:val="21"/>
          <w:lang w:eastAsia="zh-CN"/>
        </w:rPr>
      </w:pPr>
      <w:r>
        <w:rPr>
          <w:rFonts w:hint="eastAsia" w:ascii="仿宋" w:hAnsi="仿宋"/>
          <w:sz w:val="21"/>
          <w:lang w:eastAsia="zh-CN"/>
        </w:rPr>
        <w:t>数据来源：北京新锦成教育技术有限公司</w:t>
      </w:r>
    </w:p>
    <w:p>
      <w:pPr>
        <w:ind w:firstLine="640"/>
        <w:rPr>
          <w:lang w:eastAsia="zh-CN"/>
        </w:rPr>
      </w:pPr>
      <w:r>
        <w:rPr>
          <w:lang w:eastAsia="zh-CN"/>
        </w:rPr>
        <w:t>主要就业单位工作满意度：</w:t>
      </w:r>
      <w:r>
        <w:rPr>
          <w:rFonts w:hint="eastAsia"/>
          <w:lang w:eastAsia="zh-CN"/>
        </w:rPr>
        <w:t>就业于党政机关（100.00%）等单位的毕业生对目前工作总体的满意度评价相对较高；而就业于民营企业/个体的毕业生对目前工作总体的满意度评价相对较低</w:t>
      </w:r>
      <w:r>
        <w:rPr>
          <w:lang w:eastAsia="zh-CN"/>
        </w:rPr>
        <w:t>。</w:t>
      </w:r>
    </w:p>
    <w:p>
      <w:pPr>
        <w:pBdr>
          <w:top w:val="none" w:color="000000" w:sz="0" w:space="0"/>
          <w:left w:val="none" w:color="000000" w:sz="0" w:space="0"/>
          <w:bottom w:val="none" w:color="000000" w:sz="0" w:space="0"/>
          <w:right w:val="none" w:color="000000" w:sz="0" w:space="0"/>
          <w:between w:val="none" w:color="000000" w:sz="0" w:space="0"/>
        </w:pBdr>
        <w:spacing w:line="360" w:lineRule="auto"/>
        <w:ind w:firstLine="480"/>
        <w:jc w:val="center"/>
        <w:rPr>
          <w:rFonts w:eastAsia="Calibri" w:cs="宋体"/>
          <w:sz w:val="24"/>
          <w:lang w:eastAsia="zh-CN"/>
        </w:rPr>
      </w:pPr>
      <w:r>
        <w:rPr>
          <w:rFonts w:eastAsia="Calibri" w:cs="宋体"/>
          <w:sz w:val="24"/>
          <w:lang w:eastAsia="zh-CN"/>
        </w:rPr>
        <w:drawing>
          <wp:inline distT="0" distB="0" distL="0" distR="0">
            <wp:extent cx="4648200" cy="2600325"/>
            <wp:effectExtent l="0" t="0" r="0" b="0"/>
            <wp:docPr id="55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273" w:name="_Toc129867564"/>
      <w:r>
        <w:rPr>
          <w:rFonts w:hint="eastAsia" w:eastAsia="黑体"/>
          <w:b/>
          <w:sz w:val="21"/>
          <w:lang w:eastAsia="zh-CN"/>
        </w:rPr>
        <w:t>图4.36 2022届毕业生主要就业单位工作满意度</w:t>
      </w:r>
      <w:r>
        <w:rPr>
          <w:rFonts w:eastAsia="黑体"/>
          <w:b/>
          <w:sz w:val="21"/>
          <w:lang w:eastAsia="zh-CN"/>
        </w:rPr>
        <w:t>分布</w:t>
      </w:r>
      <w:bookmarkEnd w:id="273"/>
      <w:r>
        <w:rPr>
          <w:rFonts w:hint="eastAsia" w:eastAsia="黑体"/>
          <w:b/>
          <w:sz w:val="21"/>
          <w:lang w:eastAsia="zh-CN"/>
        </w:rPr>
        <w:t xml:space="preserve"> </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Chars="0"/>
        <w:jc w:val="both"/>
        <w:textAlignment w:val="auto"/>
        <w:rPr>
          <w:rFonts w:ascii="黑体" w:hAnsi="黑体" w:eastAsia="黑体"/>
          <w:snapToGrid/>
          <w:sz w:val="21"/>
          <w:lang w:eastAsia="zh-CN"/>
        </w:rPr>
      </w:pPr>
      <w:r>
        <w:rPr>
          <w:rFonts w:ascii="黑体" w:hAnsi="黑体" w:eastAsia="黑体"/>
          <w:snapToGrid/>
          <w:sz w:val="21"/>
          <w:lang w:eastAsia="zh-CN"/>
        </w:rPr>
        <w:t>注：主要就业</w:t>
      </w:r>
      <w:r>
        <w:rPr>
          <w:rFonts w:hint="eastAsia" w:ascii="黑体" w:hAnsi="黑体" w:eastAsia="黑体"/>
          <w:snapToGrid/>
          <w:sz w:val="21"/>
          <w:lang w:eastAsia="zh-CN"/>
        </w:rPr>
        <w:t>单位</w:t>
      </w:r>
      <w:r>
        <w:rPr>
          <w:rFonts w:ascii="黑体" w:hAnsi="黑体" w:eastAsia="黑体"/>
          <w:snapToGrid/>
          <w:sz w:val="21"/>
          <w:lang w:eastAsia="zh-CN"/>
        </w:rPr>
        <w:t>指就业人数≥</w:t>
      </w:r>
      <w:r>
        <w:rPr>
          <w:rFonts w:eastAsia="黑体"/>
          <w:snapToGrid/>
          <w:sz w:val="21"/>
          <w:lang w:eastAsia="zh-CN"/>
        </w:rPr>
        <w:t>20</w:t>
      </w:r>
      <w:r>
        <w:rPr>
          <w:rFonts w:ascii="黑体" w:hAnsi="黑体" w:eastAsia="黑体"/>
          <w:snapToGrid/>
          <w:sz w:val="21"/>
          <w:lang w:eastAsia="zh-CN"/>
        </w:rPr>
        <w:t>人的</w:t>
      </w:r>
      <w:r>
        <w:rPr>
          <w:rFonts w:hint="eastAsia" w:ascii="黑体" w:hAnsi="黑体" w:eastAsia="黑体"/>
          <w:snapToGrid/>
          <w:sz w:val="21"/>
          <w:lang w:eastAsia="zh-CN"/>
        </w:rPr>
        <w:t>单位</w:t>
      </w:r>
      <w:r>
        <w:rPr>
          <w:rFonts w:ascii="黑体" w:hAnsi="黑体" w:eastAsia="黑体"/>
          <w:snapToGrid/>
          <w:sz w:val="21"/>
          <w:lang w:eastAsia="zh-CN"/>
        </w:rPr>
        <w:t>。</w:t>
      </w:r>
    </w:p>
    <w:p>
      <w:pPr>
        <w:rPr>
          <w:snapToGrid/>
          <w:sz w:val="21"/>
          <w:lang w:eastAsia="zh-CN"/>
        </w:rPr>
      </w:pPr>
      <w:r>
        <w:rPr>
          <w:rFonts w:hint="eastAsia" w:ascii="仿宋" w:hAnsi="仿宋"/>
          <w:sz w:val="21"/>
          <w:lang w:eastAsia="zh-CN"/>
        </w:rPr>
        <w:t>数据来源：北京新锦成教育技术有限公司</w:t>
      </w:r>
    </w:p>
    <w:p>
      <w:pPr>
        <w:ind w:firstLine="640"/>
        <w:rPr>
          <w:lang w:eastAsia="zh-CN"/>
        </w:rPr>
      </w:pPr>
      <w:r>
        <w:rPr>
          <w:lang w:eastAsia="zh-CN"/>
        </w:rPr>
        <w:t>主要就业单位离职率：</w:t>
      </w:r>
      <w:r>
        <w:rPr>
          <w:rFonts w:hint="eastAsia"/>
          <w:lang w:eastAsia="zh-CN"/>
        </w:rPr>
        <w:t>就业于民营企业/个体（47.</w:t>
      </w:r>
      <w:r>
        <w:rPr>
          <w:lang w:eastAsia="zh-CN"/>
        </w:rPr>
        <w:t>77</w:t>
      </w:r>
      <w:r>
        <w:rPr>
          <w:rFonts w:hint="eastAsia"/>
          <w:lang w:eastAsia="zh-CN"/>
        </w:rPr>
        <w:t>%）的毕业生的离职率相对较高；而就业国有企业（32.76%）的毕业生的离职率相对较低</w:t>
      </w:r>
      <w:r>
        <w:rPr>
          <w:lang w:eastAsia="zh-CN"/>
        </w:rPr>
        <w:t>。</w:t>
      </w:r>
    </w:p>
    <w:p>
      <w:pPr>
        <w:pBdr>
          <w:top w:val="none" w:color="000000" w:sz="0" w:space="0"/>
          <w:left w:val="none" w:color="000000" w:sz="0" w:space="0"/>
          <w:bottom w:val="none" w:color="000000" w:sz="0" w:space="0"/>
          <w:right w:val="none" w:color="000000" w:sz="0" w:space="0"/>
          <w:between w:val="none" w:color="000000" w:sz="0" w:space="0"/>
        </w:pBdr>
        <w:spacing w:line="360" w:lineRule="auto"/>
        <w:ind w:firstLine="480"/>
        <w:jc w:val="center"/>
        <w:rPr>
          <w:rFonts w:eastAsia="Calibri" w:cs="宋体"/>
          <w:sz w:val="24"/>
          <w:lang w:eastAsia="zh-CN"/>
        </w:rPr>
      </w:pPr>
      <w:r>
        <w:rPr>
          <w:rFonts w:eastAsia="Calibri" w:cs="宋体"/>
          <w:sz w:val="24"/>
          <w:lang w:eastAsia="zh-CN"/>
        </w:rPr>
        <w:drawing>
          <wp:inline distT="0" distB="0" distL="0" distR="0">
            <wp:extent cx="4924425" cy="3048000"/>
            <wp:effectExtent l="0" t="0" r="0" b="0"/>
            <wp:docPr id="554"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274" w:name="_Toc129867565"/>
      <w:r>
        <w:rPr>
          <w:rFonts w:hint="eastAsia" w:eastAsia="黑体"/>
          <w:b/>
          <w:sz w:val="21"/>
          <w:lang w:eastAsia="zh-CN"/>
        </w:rPr>
        <w:t>图4.37</w:t>
      </w:r>
      <w:r>
        <w:rPr>
          <w:rFonts w:eastAsia="黑体"/>
          <w:b/>
          <w:sz w:val="21"/>
          <w:lang w:eastAsia="zh-CN"/>
        </w:rPr>
        <w:t xml:space="preserve"> </w:t>
      </w:r>
      <w:r>
        <w:rPr>
          <w:rFonts w:hint="eastAsia" w:eastAsia="黑体"/>
          <w:b/>
          <w:sz w:val="21"/>
          <w:lang w:eastAsia="zh-CN"/>
        </w:rPr>
        <w:t xml:space="preserve"> 2022届毕业生主要就业单位离职率</w:t>
      </w:r>
      <w:r>
        <w:rPr>
          <w:rFonts w:eastAsia="黑体"/>
          <w:b/>
          <w:sz w:val="21"/>
          <w:lang w:eastAsia="zh-CN"/>
        </w:rPr>
        <w:t>分布</w:t>
      </w:r>
      <w:bookmarkEnd w:id="274"/>
      <w:r>
        <w:rPr>
          <w:rFonts w:hint="eastAsia" w:eastAsia="黑体"/>
          <w:b/>
          <w:sz w:val="21"/>
          <w:lang w:eastAsia="zh-CN"/>
        </w:rPr>
        <w:t xml:space="preserve"> </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Chars="0"/>
        <w:jc w:val="both"/>
        <w:textAlignment w:val="auto"/>
        <w:rPr>
          <w:rFonts w:ascii="黑体" w:hAnsi="黑体" w:eastAsia="黑体"/>
          <w:snapToGrid/>
          <w:sz w:val="21"/>
          <w:lang w:eastAsia="zh-CN"/>
        </w:rPr>
      </w:pPr>
      <w:r>
        <w:rPr>
          <w:rFonts w:ascii="黑体" w:hAnsi="黑体" w:eastAsia="黑体"/>
          <w:snapToGrid/>
          <w:sz w:val="21"/>
          <w:lang w:eastAsia="zh-CN"/>
        </w:rPr>
        <w:t>注：主要就业</w:t>
      </w:r>
      <w:r>
        <w:rPr>
          <w:rFonts w:hint="eastAsia" w:ascii="黑体" w:hAnsi="黑体" w:eastAsia="黑体"/>
          <w:snapToGrid/>
          <w:sz w:val="21"/>
          <w:lang w:eastAsia="zh-CN"/>
        </w:rPr>
        <w:t>单位</w:t>
      </w:r>
      <w:r>
        <w:rPr>
          <w:rFonts w:ascii="黑体" w:hAnsi="黑体" w:eastAsia="黑体"/>
          <w:snapToGrid/>
          <w:sz w:val="21"/>
          <w:lang w:eastAsia="zh-CN"/>
        </w:rPr>
        <w:t>指就业人数≥</w:t>
      </w:r>
      <w:r>
        <w:rPr>
          <w:rFonts w:eastAsia="黑体"/>
          <w:snapToGrid/>
          <w:sz w:val="21"/>
          <w:lang w:eastAsia="zh-CN"/>
        </w:rPr>
        <w:t>20</w:t>
      </w:r>
      <w:r>
        <w:rPr>
          <w:rFonts w:ascii="黑体" w:hAnsi="黑体" w:eastAsia="黑体"/>
          <w:snapToGrid/>
          <w:sz w:val="21"/>
          <w:lang w:eastAsia="zh-CN"/>
        </w:rPr>
        <w:t>人的</w:t>
      </w:r>
      <w:r>
        <w:rPr>
          <w:rFonts w:hint="eastAsia" w:ascii="黑体" w:hAnsi="黑体" w:eastAsia="黑体"/>
          <w:snapToGrid/>
          <w:sz w:val="21"/>
          <w:lang w:eastAsia="zh-CN"/>
        </w:rPr>
        <w:t>单位</w:t>
      </w:r>
      <w:r>
        <w:rPr>
          <w:rFonts w:ascii="黑体" w:hAnsi="黑体" w:eastAsia="黑体"/>
          <w:snapToGrid/>
          <w:sz w:val="21"/>
          <w:lang w:eastAsia="zh-CN"/>
        </w:rPr>
        <w:t>。</w:t>
      </w:r>
    </w:p>
    <w:p>
      <w:pPr>
        <w:rPr>
          <w:snapToGrid/>
          <w:sz w:val="21"/>
          <w:lang w:eastAsia="zh-CN"/>
        </w:rPr>
      </w:pPr>
      <w:r>
        <w:rPr>
          <w:rFonts w:hint="eastAsia" w:ascii="仿宋" w:hAnsi="仿宋"/>
          <w:sz w:val="21"/>
          <w:lang w:eastAsia="zh-CN"/>
        </w:rPr>
        <w:t>数据来源：北京新锦成教育技术有限公司</w:t>
      </w:r>
    </w:p>
    <w:p>
      <w:pPr>
        <w:ind w:firstLine="640"/>
        <w:rPr>
          <w:lang w:val="zh-CN" w:eastAsia="zh-CN"/>
        </w:rPr>
      </w:pPr>
      <w:r>
        <w:rPr>
          <w:rFonts w:hint="eastAsia"/>
          <w:lang w:val="zh-CN" w:eastAsia="zh-CN"/>
        </w:rPr>
        <w:t>就业企业规模：在就职于“国有企业”“民营企业/个体”“三资企业”的毕业生中，就业企业规模主要集中在“小微企业”，占比为36.72%</w:t>
      </w:r>
      <w:r>
        <w:rPr>
          <w:lang w:val="zh-CN" w:eastAsia="zh-CN"/>
        </w:rPr>
        <w:t>。</w:t>
      </w:r>
    </w:p>
    <w:p>
      <w:pPr>
        <w:pBdr>
          <w:top w:val="none" w:color="000000" w:sz="0" w:space="0"/>
          <w:left w:val="none" w:color="000000" w:sz="0" w:space="0"/>
          <w:bottom w:val="none" w:color="000000" w:sz="0" w:space="0"/>
          <w:right w:val="none" w:color="000000" w:sz="0" w:space="0"/>
          <w:between w:val="none" w:color="000000" w:sz="0" w:space="0"/>
        </w:pBdr>
        <w:spacing w:before="163" w:line="360" w:lineRule="auto"/>
        <w:ind w:firstLine="480"/>
        <w:jc w:val="center"/>
        <w:rPr>
          <w:rFonts w:eastAsia="宋体"/>
          <w:bCs/>
          <w:color w:val="0F6FC6"/>
          <w:sz w:val="24"/>
          <w:szCs w:val="30"/>
          <w:lang w:eastAsia="zh-CN"/>
        </w:rPr>
      </w:pPr>
      <w:r>
        <w:rPr>
          <w:rFonts w:eastAsia="宋体"/>
          <w:bCs/>
          <w:sz w:val="24"/>
          <w:szCs w:val="30"/>
          <w:lang w:eastAsia="zh-CN"/>
        </w:rPr>
        <w:drawing>
          <wp:inline distT="0" distB="0" distL="0" distR="0">
            <wp:extent cx="4450080" cy="2430780"/>
            <wp:effectExtent l="0" t="0" r="7620" b="7620"/>
            <wp:docPr id="555" name="图表 955"/>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275" w:name="_Toc129867566"/>
      <w:r>
        <w:rPr>
          <w:rFonts w:hint="eastAsia" w:eastAsia="黑体"/>
          <w:b/>
          <w:sz w:val="21"/>
          <w:lang w:eastAsia="zh-CN"/>
        </w:rPr>
        <w:t>图4.38 2022届毕业生就业企业规模</w:t>
      </w:r>
      <w:r>
        <w:rPr>
          <w:rFonts w:eastAsia="黑体"/>
          <w:b/>
          <w:sz w:val="21"/>
          <w:lang w:eastAsia="zh-CN"/>
        </w:rPr>
        <w:t>分布</w:t>
      </w:r>
      <w:bookmarkEnd w:id="275"/>
      <w:r>
        <w:rPr>
          <w:rFonts w:hint="eastAsia" w:eastAsia="黑体"/>
          <w:b/>
          <w:sz w:val="21"/>
          <w:lang w:eastAsia="zh-CN"/>
        </w:rPr>
        <w:t xml:space="preserve"> </w:t>
      </w:r>
    </w:p>
    <w:p>
      <w:pPr>
        <w:rPr>
          <w:snapToGrid/>
          <w:sz w:val="21"/>
          <w:lang w:eastAsia="zh-CN"/>
        </w:rPr>
      </w:pPr>
      <w:r>
        <w:rPr>
          <w:rFonts w:hint="eastAsia" w:ascii="仿宋" w:hAnsi="仿宋"/>
          <w:sz w:val="21"/>
          <w:lang w:eastAsia="zh-CN"/>
        </w:rPr>
        <w:t>数据来源：北京新锦成教育技术有限公司</w:t>
      </w:r>
    </w:p>
    <w:p>
      <w:pPr>
        <w:pageBreakBefore/>
        <w:pBdr>
          <w:top w:val="none" w:color="000000" w:sz="0" w:space="0"/>
          <w:left w:val="none" w:color="000000" w:sz="0" w:space="0"/>
          <w:bottom w:val="none" w:color="000000" w:sz="0" w:space="0"/>
          <w:right w:val="none" w:color="000000" w:sz="0" w:space="0"/>
          <w:between w:val="none" w:color="000000" w:sz="0" w:space="0"/>
        </w:pBdr>
        <w:spacing w:before="652" w:after="652" w:line="400" w:lineRule="exact"/>
        <w:ind w:firstLine="643"/>
        <w:jc w:val="center"/>
        <w:outlineLvl w:val="1"/>
        <w:rPr>
          <w:rFonts w:eastAsia="黑体"/>
          <w:b/>
          <w:bCs/>
          <w:szCs w:val="32"/>
          <w:lang w:eastAsia="zh-CN"/>
        </w:rPr>
      </w:pPr>
      <w:bookmarkStart w:id="276" w:name="_Toc148372494"/>
      <w:bookmarkStart w:id="277" w:name="_Toc130307163"/>
      <w:bookmarkStart w:id="278" w:name="_Toc151887783"/>
      <w:r>
        <w:rPr>
          <w:rFonts w:eastAsia="黑体"/>
          <w:b/>
          <w:bCs/>
          <w:szCs w:val="32"/>
          <w:lang w:eastAsia="zh-CN"/>
        </w:rPr>
        <w:t>第</w:t>
      </w:r>
      <w:r>
        <w:rPr>
          <w:rFonts w:hint="eastAsia" w:eastAsia="黑体"/>
          <w:b/>
          <w:bCs/>
          <w:szCs w:val="32"/>
          <w:lang w:eastAsia="zh-CN"/>
        </w:rPr>
        <w:t xml:space="preserve">三章 </w:t>
      </w:r>
      <w:r>
        <w:rPr>
          <w:rFonts w:eastAsia="黑体"/>
          <w:b/>
          <w:bCs/>
          <w:szCs w:val="32"/>
          <w:lang w:eastAsia="zh-CN"/>
        </w:rPr>
        <w:t xml:space="preserve"> 深造</w:t>
      </w:r>
      <w:r>
        <w:rPr>
          <w:rFonts w:hint="eastAsia" w:eastAsia="黑体"/>
          <w:b/>
          <w:bCs/>
          <w:szCs w:val="32"/>
          <w:lang w:eastAsia="zh-CN"/>
        </w:rPr>
        <w:t>与创业</w:t>
      </w:r>
      <w:bookmarkEnd w:id="276"/>
      <w:bookmarkEnd w:id="277"/>
      <w:bookmarkEnd w:id="278"/>
    </w:p>
    <w:p>
      <w:pPr>
        <w:pStyle w:val="2"/>
        <w:ind w:firstLine="640"/>
        <w:rPr>
          <w:lang w:eastAsia="zh-CN"/>
        </w:rPr>
      </w:pPr>
      <w:bookmarkStart w:id="279" w:name="_Toc130307164"/>
      <w:bookmarkStart w:id="280" w:name="_Toc151887784"/>
      <w:bookmarkStart w:id="281" w:name="_Toc148372495"/>
      <w:r>
        <w:rPr>
          <w:rFonts w:hint="eastAsia"/>
          <w:lang w:eastAsia="zh-CN"/>
        </w:rPr>
        <w:t>一</w:t>
      </w:r>
      <w:r>
        <w:rPr>
          <w:lang w:eastAsia="zh-CN"/>
        </w:rPr>
        <w:t>、</w:t>
      </w:r>
      <w:r>
        <w:rPr>
          <w:rFonts w:hint="eastAsia"/>
          <w:lang w:eastAsia="zh-CN"/>
        </w:rPr>
        <w:t>国内升学</w:t>
      </w:r>
      <w:bookmarkEnd w:id="279"/>
      <w:bookmarkEnd w:id="280"/>
      <w:bookmarkEnd w:id="281"/>
    </w:p>
    <w:p>
      <w:pPr>
        <w:ind w:firstLine="640"/>
        <w:rPr>
          <w:lang w:eastAsia="zh-CN"/>
        </w:rPr>
      </w:pPr>
      <w:r>
        <w:rPr>
          <w:rFonts w:hint="eastAsia"/>
          <w:lang w:eastAsia="zh-CN"/>
        </w:rPr>
        <w:t>国内升学率：调查结果显示，</w:t>
      </w:r>
      <w:r>
        <w:rPr>
          <w:lang w:val="zh-CN" w:eastAsia="zh-CN"/>
        </w:rPr>
        <w:t>本校2022届毕业生国内升学率为30.49%，比全国高校2022届毕业生国内升学率（24.24%</w:t>
      </w:r>
      <w:r>
        <w:rPr>
          <w:lang w:eastAsia="zh-CN"/>
        </w:rPr>
        <w:t>）</w:t>
      </w:r>
      <w:r>
        <w:rPr>
          <w:rFonts w:hint="eastAsia"/>
          <w:lang w:eastAsia="zh-CN"/>
        </w:rPr>
        <w:t>高</w:t>
      </w:r>
      <w:r>
        <w:rPr>
          <w:lang w:eastAsia="zh-CN"/>
        </w:rPr>
        <w:t>6.25个百分点；其中，2020-2021届毕业生国内升学率为11.08%</w:t>
      </w:r>
      <w:r>
        <w:rPr>
          <w:rFonts w:hint="eastAsia"/>
          <w:lang w:eastAsia="zh-CN"/>
        </w:rPr>
        <w:t>、</w:t>
      </w:r>
      <w:r>
        <w:rPr>
          <w:lang w:eastAsia="zh-CN"/>
        </w:rPr>
        <w:t>23.26%。</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163" w:after="156" w:line="360" w:lineRule="auto"/>
        <w:ind w:firstLine="480" w:firstLineChars="0"/>
        <w:jc w:val="center"/>
        <w:textAlignment w:val="auto"/>
        <w:rPr>
          <w:rFonts w:ascii="Calibri" w:hAnsi="Calibri" w:eastAsia="Calibri" w:cs="宋体"/>
          <w:snapToGrid/>
          <w:sz w:val="24"/>
          <w:lang w:eastAsia="zh-CN"/>
        </w:rPr>
      </w:pPr>
      <w:r>
        <w:rPr>
          <w:rFonts w:eastAsia="宋体"/>
          <w:snapToGrid/>
          <w:sz w:val="24"/>
          <w:lang w:eastAsia="zh-CN"/>
        </w:rPr>
        <w:drawing>
          <wp:inline distT="0" distB="0" distL="0" distR="0">
            <wp:extent cx="4619625" cy="2228850"/>
            <wp:effectExtent l="0" t="0" r="0" b="0"/>
            <wp:docPr id="556" name="图表 984"/>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282" w:name="_Toc129867567"/>
      <w:r>
        <w:rPr>
          <w:rFonts w:hint="eastAsia" w:eastAsia="黑体"/>
          <w:b/>
          <w:sz w:val="21"/>
          <w:lang w:eastAsia="zh-CN"/>
        </w:rPr>
        <w:t>图4.39</w:t>
      </w:r>
      <w:r>
        <w:rPr>
          <w:rFonts w:eastAsia="黑体"/>
          <w:b/>
          <w:sz w:val="21"/>
          <w:lang w:eastAsia="zh-CN"/>
        </w:rPr>
        <w:t xml:space="preserve"> </w:t>
      </w:r>
      <w:r>
        <w:rPr>
          <w:rFonts w:hint="eastAsia" w:eastAsia="黑体"/>
          <w:b/>
          <w:sz w:val="21"/>
          <w:lang w:eastAsia="zh-CN"/>
        </w:rPr>
        <w:t xml:space="preserve"> </w:t>
      </w:r>
      <w:r>
        <w:rPr>
          <w:rFonts w:eastAsia="黑体"/>
          <w:b/>
          <w:sz w:val="21"/>
          <w:lang w:eastAsia="zh-CN"/>
        </w:rPr>
        <w:t>2020-2022届</w:t>
      </w:r>
      <w:r>
        <w:rPr>
          <w:rFonts w:hint="eastAsia" w:eastAsia="黑体"/>
          <w:b/>
          <w:sz w:val="21"/>
          <w:lang w:eastAsia="zh-CN"/>
        </w:rPr>
        <w:t>毕业生国内升学</w:t>
      </w:r>
      <w:r>
        <w:rPr>
          <w:rFonts w:eastAsia="黑体"/>
          <w:b/>
          <w:sz w:val="21"/>
          <w:lang w:eastAsia="zh-CN"/>
        </w:rPr>
        <w:t>率对比分析</w:t>
      </w:r>
      <w:bookmarkEnd w:id="282"/>
      <w:r>
        <w:rPr>
          <w:rFonts w:hint="eastAsia" w:eastAsia="黑体"/>
          <w:b/>
          <w:sz w:val="21"/>
          <w:lang w:eastAsia="zh-CN"/>
        </w:rPr>
        <w:t xml:space="preserve"> </w:t>
      </w:r>
    </w:p>
    <w:p>
      <w:pPr>
        <w:rPr>
          <w:snapToGrid/>
          <w:sz w:val="21"/>
          <w:lang w:eastAsia="zh-CN"/>
        </w:rPr>
      </w:pPr>
      <w:r>
        <w:rPr>
          <w:rFonts w:hint="eastAsia" w:ascii="仿宋" w:hAnsi="仿宋"/>
          <w:sz w:val="21"/>
          <w:lang w:eastAsia="zh-CN"/>
        </w:rPr>
        <w:t>数据来源：北京新锦成教育技术有限公司</w:t>
      </w:r>
    </w:p>
    <w:p>
      <w:pPr>
        <w:ind w:firstLine="640"/>
        <w:rPr>
          <w:lang w:val="zh-CN" w:eastAsia="zh-CN"/>
        </w:rPr>
      </w:pPr>
      <w:r>
        <w:rPr>
          <w:rFonts w:hint="eastAsia"/>
          <w:lang w:val="zh-CN" w:eastAsia="zh-CN"/>
        </w:rPr>
        <w:t>升学原因</w:t>
      </w:r>
      <w:r>
        <w:rPr>
          <w:rFonts w:hint="eastAsia"/>
          <w:lang w:eastAsia="zh-CN"/>
        </w:rPr>
        <w:t>：</w:t>
      </w:r>
      <w:r>
        <w:rPr>
          <w:rFonts w:hint="eastAsia"/>
          <w:lang w:val="zh-CN" w:eastAsia="zh-CN"/>
        </w:rPr>
        <w:t>本校</w:t>
      </w:r>
      <w:r>
        <w:rPr>
          <w:rFonts w:hint="eastAsia"/>
          <w:lang w:eastAsia="zh-CN"/>
        </w:rPr>
        <w:t>2022届毕业生</w:t>
      </w:r>
      <w:r>
        <w:rPr>
          <w:lang w:val="zh-CN" w:eastAsia="zh-CN"/>
        </w:rPr>
        <w:t>升学</w:t>
      </w:r>
      <w:r>
        <w:rPr>
          <w:rFonts w:hint="eastAsia"/>
          <w:lang w:val="zh-CN" w:eastAsia="zh-CN"/>
        </w:rPr>
        <w:t>的最主要原因是“增加择业资本，站在更高求职点”（49.71%），其次是“提高综合素质/能力”（27.40%）</w:t>
      </w:r>
      <w:r>
        <w:rPr>
          <w:lang w:val="zh-CN" w:eastAsia="zh-CN"/>
        </w:rPr>
        <w:t>。</w:t>
      </w:r>
    </w:p>
    <w:p>
      <w:pPr>
        <w:pBdr>
          <w:top w:val="none" w:color="000000" w:sz="0" w:space="0"/>
          <w:left w:val="none" w:color="000000" w:sz="0" w:space="0"/>
          <w:bottom w:val="none" w:color="000000" w:sz="0" w:space="0"/>
          <w:right w:val="none" w:color="000000" w:sz="0" w:space="0"/>
          <w:between w:val="none" w:color="000000" w:sz="0" w:space="0"/>
        </w:pBdr>
        <w:spacing w:line="360" w:lineRule="auto"/>
        <w:ind w:firstLine="480"/>
        <w:jc w:val="center"/>
        <w:rPr>
          <w:rFonts w:eastAsia="宋体" w:cs="宋体"/>
          <w:color w:val="0F6FC6"/>
          <w:sz w:val="24"/>
          <w:lang w:eastAsia="zh-CN"/>
        </w:rPr>
      </w:pPr>
      <w:r>
        <w:rPr>
          <w:rFonts w:eastAsia="Calibri" w:cs="宋体"/>
          <w:sz w:val="24"/>
          <w:lang w:eastAsia="zh-CN"/>
        </w:rPr>
        <w:drawing>
          <wp:inline distT="0" distB="0" distL="0" distR="0">
            <wp:extent cx="5018405" cy="2264410"/>
            <wp:effectExtent l="0" t="0" r="0" b="0"/>
            <wp:docPr id="558"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283" w:name="_Toc129867569"/>
      <w:r>
        <w:rPr>
          <w:rFonts w:hint="eastAsia" w:eastAsia="黑体"/>
          <w:b/>
          <w:sz w:val="21"/>
          <w:lang w:eastAsia="zh-CN"/>
        </w:rPr>
        <w:t>图4.40</w:t>
      </w:r>
      <w:r>
        <w:rPr>
          <w:rFonts w:eastAsia="黑体"/>
          <w:b/>
          <w:sz w:val="21"/>
          <w:lang w:eastAsia="zh-CN"/>
        </w:rPr>
        <w:t xml:space="preserve"> </w:t>
      </w:r>
      <w:r>
        <w:rPr>
          <w:rFonts w:hint="eastAsia" w:eastAsia="黑体"/>
          <w:b/>
          <w:sz w:val="21"/>
          <w:lang w:eastAsia="zh-CN"/>
        </w:rPr>
        <w:t xml:space="preserve"> 2022届毕业生升学原因</w:t>
      </w:r>
      <w:r>
        <w:rPr>
          <w:rFonts w:eastAsia="黑体"/>
          <w:b/>
          <w:sz w:val="21"/>
          <w:lang w:eastAsia="zh-CN"/>
        </w:rPr>
        <w:t>分布</w:t>
      </w:r>
      <w:bookmarkEnd w:id="283"/>
      <w:r>
        <w:rPr>
          <w:rFonts w:hint="eastAsia" w:eastAsia="黑体"/>
          <w:b/>
          <w:sz w:val="21"/>
          <w:lang w:eastAsia="zh-CN"/>
        </w:rPr>
        <w:t xml:space="preserve"> </w:t>
      </w:r>
    </w:p>
    <w:p>
      <w:pPr>
        <w:rPr>
          <w:snapToGrid/>
          <w:sz w:val="21"/>
          <w:lang w:eastAsia="zh-CN"/>
        </w:rPr>
      </w:pPr>
      <w:r>
        <w:rPr>
          <w:rFonts w:hint="eastAsia" w:ascii="仿宋" w:hAnsi="仿宋"/>
          <w:sz w:val="21"/>
          <w:lang w:eastAsia="zh-CN"/>
        </w:rPr>
        <w:t>数据来源：北京新锦成教育技术有限公司</w:t>
      </w:r>
    </w:p>
    <w:p>
      <w:pPr>
        <w:ind w:firstLine="640"/>
        <w:rPr>
          <w:lang w:eastAsia="zh-CN"/>
        </w:rPr>
      </w:pPr>
      <w:r>
        <w:rPr>
          <w:rFonts w:hint="eastAsia"/>
          <w:lang w:eastAsia="zh-CN"/>
        </w:rPr>
        <w:t>升学</w:t>
      </w:r>
      <w:r>
        <w:rPr>
          <w:lang w:eastAsia="zh-CN"/>
        </w:rPr>
        <w:t>专业</w:t>
      </w:r>
      <w:r>
        <w:rPr>
          <w:rFonts w:hint="eastAsia"/>
          <w:lang w:eastAsia="zh-CN"/>
        </w:rPr>
        <w:t>相关度：本校</w:t>
      </w:r>
      <w:r>
        <w:rPr>
          <w:rFonts w:hint="eastAsia"/>
          <w:lang w:val="zh-CN" w:eastAsia="zh-CN"/>
        </w:rPr>
        <w:t>2022届毕业</w:t>
      </w:r>
      <w:r>
        <w:rPr>
          <w:rFonts w:hint="eastAsia"/>
          <w:lang w:eastAsia="zh-CN"/>
        </w:rPr>
        <w:t>生</w:t>
      </w:r>
      <w:r>
        <w:rPr>
          <w:lang w:eastAsia="zh-CN"/>
        </w:rPr>
        <w:t>升学专业</w:t>
      </w:r>
      <w:r>
        <w:rPr>
          <w:rFonts w:hint="eastAsia"/>
          <w:lang w:eastAsia="zh-CN"/>
        </w:rPr>
        <w:t>相关度为</w:t>
      </w:r>
      <w:r>
        <w:rPr>
          <w:rFonts w:hint="eastAsia"/>
          <w:lang w:val="zh-CN" w:eastAsia="zh-CN"/>
        </w:rPr>
        <w:t>92.61%</w:t>
      </w:r>
      <w:r>
        <w:rPr>
          <w:rFonts w:hint="eastAsia"/>
          <w:lang w:eastAsia="zh-CN"/>
        </w:rPr>
        <w:t>，可见大部分学生还是在本专业或相关专业继续深造；</w:t>
      </w:r>
      <w:r>
        <w:rPr>
          <w:lang w:eastAsia="zh-CN"/>
        </w:rPr>
        <w:t>而</w:t>
      </w:r>
      <w:r>
        <w:rPr>
          <w:rFonts w:hint="eastAsia"/>
          <w:lang w:eastAsia="zh-CN"/>
        </w:rPr>
        <w:t>毕业生</w:t>
      </w:r>
      <w:r>
        <w:rPr>
          <w:lang w:eastAsia="zh-CN"/>
        </w:rPr>
        <w:t>选择在</w:t>
      </w:r>
      <w:r>
        <w:rPr>
          <w:rFonts w:hint="eastAsia"/>
          <w:lang w:eastAsia="zh-CN"/>
        </w:rPr>
        <w:t>不相关</w:t>
      </w:r>
      <w:r>
        <w:rPr>
          <w:lang w:eastAsia="zh-CN"/>
        </w:rPr>
        <w:t>专业继续深造的原因</w:t>
      </w:r>
      <w:r>
        <w:rPr>
          <w:rFonts w:hint="eastAsia"/>
          <w:lang w:eastAsia="zh-CN"/>
        </w:rPr>
        <w:t>主要为</w:t>
      </w:r>
      <w:r>
        <w:rPr>
          <w:rFonts w:hint="eastAsia"/>
          <w:lang w:val="zh-CN" w:eastAsia="zh-CN"/>
        </w:rPr>
        <w:t>“考取难度低”（29.73%）和“出于个人兴趣”（18.92%）</w:t>
      </w:r>
      <w:r>
        <w:rPr>
          <w:rFonts w:hint="eastAsia"/>
          <w:lang w:eastAsia="zh-CN"/>
        </w:rPr>
        <w:t>。</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163" w:after="163" w:line="360" w:lineRule="auto"/>
        <w:ind w:firstLine="0" w:firstLineChars="0"/>
        <w:jc w:val="center"/>
        <w:textAlignment w:val="auto"/>
        <w:rPr>
          <w:rFonts w:eastAsia="宋体"/>
          <w:snapToGrid/>
          <w:sz w:val="24"/>
          <w:lang w:eastAsia="zh-CN"/>
        </w:rPr>
      </w:pPr>
      <w:r>
        <w:rPr>
          <w:rFonts w:eastAsia="宋体"/>
          <w:snapToGrid/>
          <w:sz w:val="24"/>
          <w:szCs w:val="24"/>
          <w:lang w:eastAsia="zh-CN"/>
        </w:rPr>
        <w:drawing>
          <wp:inline distT="0" distB="0" distL="0" distR="0">
            <wp:extent cx="3952240" cy="1812925"/>
            <wp:effectExtent l="4445" t="4445" r="5715" b="11430"/>
            <wp:docPr id="559" name="图表 5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284" w:name="_Toc129867570"/>
      <w:r>
        <w:rPr>
          <w:rFonts w:hint="eastAsia" w:eastAsia="黑体"/>
          <w:b/>
          <w:sz w:val="21"/>
          <w:lang w:eastAsia="zh-CN"/>
        </w:rPr>
        <w:t>图4.41 2022届毕业生升学专业</w:t>
      </w:r>
      <w:r>
        <w:rPr>
          <w:rFonts w:eastAsia="黑体"/>
          <w:b/>
          <w:sz w:val="21"/>
          <w:lang w:eastAsia="zh-CN"/>
        </w:rPr>
        <w:t>与原专业</w:t>
      </w:r>
      <w:r>
        <w:rPr>
          <w:rFonts w:hint="eastAsia" w:eastAsia="黑体"/>
          <w:b/>
          <w:sz w:val="21"/>
          <w:lang w:eastAsia="zh-CN"/>
        </w:rPr>
        <w:t>相关度</w:t>
      </w:r>
      <w:r>
        <w:rPr>
          <w:rFonts w:eastAsia="黑体"/>
          <w:b/>
          <w:sz w:val="21"/>
          <w:lang w:eastAsia="zh-CN"/>
        </w:rPr>
        <w:t>分布</w:t>
      </w:r>
      <w:bookmarkEnd w:id="284"/>
      <w:r>
        <w:rPr>
          <w:rFonts w:hint="eastAsia" w:eastAsia="黑体"/>
          <w:b/>
          <w:sz w:val="21"/>
          <w:lang w:eastAsia="zh-CN"/>
        </w:rPr>
        <w:t xml:space="preserve"> </w:t>
      </w:r>
    </w:p>
    <w:p>
      <w:pPr>
        <w:rPr>
          <w:snapToGrid/>
          <w:sz w:val="21"/>
          <w:lang w:eastAsia="zh-CN"/>
        </w:rPr>
      </w:pPr>
      <w:r>
        <w:rPr>
          <w:rFonts w:hint="eastAsia" w:ascii="仿宋" w:hAnsi="仿宋"/>
          <w:sz w:val="21"/>
          <w:lang w:eastAsia="zh-CN"/>
        </w:rPr>
        <w:t>数据来源：北京新锦成教育技术有限公司</w:t>
      </w:r>
    </w:p>
    <w:p>
      <w:pPr>
        <w:pBdr>
          <w:top w:val="none" w:color="000000" w:sz="0" w:space="0"/>
          <w:left w:val="none" w:color="000000" w:sz="0" w:space="0"/>
          <w:bottom w:val="none" w:color="000000" w:sz="0" w:space="0"/>
          <w:right w:val="none" w:color="000000" w:sz="0" w:space="0"/>
          <w:between w:val="none" w:color="000000" w:sz="0" w:space="0"/>
        </w:pBdr>
        <w:spacing w:before="50" w:after="50" w:line="360" w:lineRule="auto"/>
        <w:ind w:firstLine="480"/>
        <w:jc w:val="center"/>
        <w:rPr>
          <w:rFonts w:eastAsia="宋体"/>
          <w:sz w:val="24"/>
          <w:szCs w:val="24"/>
          <w:lang w:val="zh-CN" w:eastAsia="zh-CN"/>
        </w:rPr>
      </w:pPr>
      <w:r>
        <w:rPr>
          <w:rFonts w:eastAsia="宋体" w:cs="宋体"/>
          <w:sz w:val="24"/>
          <w:lang w:eastAsia="zh-CN"/>
        </w:rPr>
        <w:drawing>
          <wp:inline distT="0" distB="0" distL="0" distR="0">
            <wp:extent cx="4955540" cy="2113915"/>
            <wp:effectExtent l="0" t="0" r="10160" b="6985"/>
            <wp:docPr id="560"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285" w:name="_Toc129867572"/>
      <w:r>
        <w:rPr>
          <w:rFonts w:hint="eastAsia" w:eastAsia="黑体"/>
          <w:b/>
          <w:sz w:val="21"/>
          <w:lang w:eastAsia="zh-CN"/>
        </w:rPr>
        <w:t>图4.42</w:t>
      </w:r>
      <w:r>
        <w:rPr>
          <w:rFonts w:eastAsia="黑体"/>
          <w:b/>
          <w:sz w:val="21"/>
          <w:lang w:eastAsia="zh-CN"/>
        </w:rPr>
        <w:t xml:space="preserve"> </w:t>
      </w:r>
      <w:r>
        <w:rPr>
          <w:rFonts w:hint="eastAsia" w:eastAsia="黑体"/>
          <w:b/>
          <w:sz w:val="21"/>
          <w:lang w:eastAsia="zh-CN"/>
        </w:rPr>
        <w:t xml:space="preserve"> 2022届毕业生跨专业升学原因分布</w:t>
      </w:r>
      <w:bookmarkEnd w:id="285"/>
    </w:p>
    <w:p>
      <w:pPr>
        <w:rPr>
          <w:snapToGrid/>
          <w:sz w:val="21"/>
          <w:lang w:eastAsia="zh-CN"/>
        </w:rPr>
      </w:pPr>
      <w:r>
        <w:rPr>
          <w:rFonts w:hint="eastAsia" w:ascii="仿宋" w:hAnsi="仿宋"/>
          <w:sz w:val="21"/>
          <w:lang w:eastAsia="zh-CN"/>
        </w:rPr>
        <w:t>数据来源：北京新锦成教育技术有限公司</w:t>
      </w:r>
    </w:p>
    <w:p>
      <w:pPr>
        <w:pStyle w:val="2"/>
        <w:ind w:firstLine="640"/>
        <w:rPr>
          <w:lang w:eastAsia="zh-CN"/>
        </w:rPr>
      </w:pPr>
      <w:bookmarkStart w:id="286" w:name="_Toc148372496"/>
      <w:bookmarkStart w:id="287" w:name="_Toc130307165"/>
      <w:bookmarkStart w:id="288" w:name="_Toc151887785"/>
      <w:r>
        <w:rPr>
          <w:rFonts w:hint="eastAsia"/>
          <w:lang w:eastAsia="zh-CN"/>
        </w:rPr>
        <w:t>二</w:t>
      </w:r>
      <w:r>
        <w:rPr>
          <w:lang w:eastAsia="zh-CN"/>
        </w:rPr>
        <w:t>、</w:t>
      </w:r>
      <w:r>
        <w:rPr>
          <w:rFonts w:hint="eastAsia"/>
          <w:lang w:eastAsia="zh-CN"/>
        </w:rPr>
        <w:t>出国/出境留学</w:t>
      </w:r>
      <w:bookmarkEnd w:id="286"/>
      <w:bookmarkEnd w:id="287"/>
      <w:bookmarkEnd w:id="288"/>
    </w:p>
    <w:p>
      <w:pPr>
        <w:ind w:firstLine="640"/>
        <w:rPr>
          <w:lang w:eastAsia="zh-CN"/>
        </w:rPr>
      </w:pPr>
      <w:r>
        <w:rPr>
          <w:rFonts w:hint="eastAsia"/>
          <w:lang w:eastAsia="zh-CN"/>
        </w:rPr>
        <w:t>出国/出境留学率：调查结果显示</w:t>
      </w:r>
      <w:r>
        <w:rPr>
          <w:lang w:eastAsia="zh-CN"/>
        </w:rPr>
        <w:t>，本校2022</w:t>
      </w:r>
      <w:r>
        <w:rPr>
          <w:rFonts w:hint="eastAsia"/>
          <w:lang w:eastAsia="zh-CN"/>
        </w:rPr>
        <w:t>届毕业生出国/出境留学</w:t>
      </w:r>
      <w:r>
        <w:rPr>
          <w:lang w:eastAsia="zh-CN"/>
        </w:rPr>
        <w:t>率为</w:t>
      </w:r>
      <w:r>
        <w:rPr>
          <w:rFonts w:hint="eastAsia"/>
          <w:lang w:eastAsia="zh-CN"/>
        </w:rPr>
        <w:t>1.65%，比全国高校</w:t>
      </w:r>
      <w:r>
        <w:rPr>
          <w:lang w:eastAsia="zh-CN"/>
        </w:rPr>
        <w:t>2022</w:t>
      </w:r>
      <w:r>
        <w:rPr>
          <w:rFonts w:hint="eastAsia"/>
          <w:lang w:eastAsia="zh-CN"/>
        </w:rPr>
        <w:t>届毕业生出国/出境留学</w:t>
      </w:r>
      <w:r>
        <w:rPr>
          <w:lang w:eastAsia="zh-CN"/>
        </w:rPr>
        <w:t>率</w:t>
      </w:r>
      <w:r>
        <w:rPr>
          <w:rFonts w:hint="eastAsia"/>
          <w:lang w:eastAsia="zh-CN"/>
        </w:rPr>
        <w:t>（</w:t>
      </w:r>
      <w:r>
        <w:rPr>
          <w:lang w:eastAsia="zh-CN"/>
        </w:rPr>
        <w:t>0.42</w:t>
      </w:r>
      <w:r>
        <w:rPr>
          <w:rFonts w:hint="eastAsia"/>
          <w:lang w:eastAsia="zh-CN"/>
        </w:rPr>
        <w:t>%）高</w:t>
      </w:r>
      <w:r>
        <w:rPr>
          <w:lang w:eastAsia="zh-CN"/>
        </w:rPr>
        <w:t>1.23</w:t>
      </w:r>
      <w:r>
        <w:rPr>
          <w:rFonts w:hint="eastAsia"/>
          <w:lang w:eastAsia="zh-CN"/>
        </w:rPr>
        <w:t>个百分点</w:t>
      </w:r>
      <w:r>
        <w:rPr>
          <w:lang w:eastAsia="zh-CN"/>
        </w:rPr>
        <w:t>；其中，2020-2021届毕业生</w:t>
      </w:r>
      <w:r>
        <w:rPr>
          <w:rFonts w:hint="eastAsia"/>
          <w:lang w:eastAsia="zh-CN"/>
        </w:rPr>
        <w:t>出国/出境留学率</w:t>
      </w:r>
      <w:r>
        <w:rPr>
          <w:lang w:eastAsia="zh-CN"/>
        </w:rPr>
        <w:t>为0.70%</w:t>
      </w:r>
      <w:r>
        <w:rPr>
          <w:rFonts w:hint="eastAsia"/>
          <w:lang w:eastAsia="zh-CN"/>
        </w:rPr>
        <w:t>、</w:t>
      </w:r>
      <w:r>
        <w:rPr>
          <w:lang w:eastAsia="zh-CN"/>
        </w:rPr>
        <w:t>0.45%。</w:t>
      </w:r>
    </w:p>
    <w:p>
      <w:pPr>
        <w:pBdr>
          <w:top w:val="none" w:color="000000" w:sz="0" w:space="0"/>
          <w:left w:val="none" w:color="000000" w:sz="0" w:space="0"/>
          <w:bottom w:val="none" w:color="000000" w:sz="0" w:space="0"/>
          <w:right w:val="none" w:color="000000" w:sz="0" w:space="0"/>
          <w:between w:val="none" w:color="000000" w:sz="0" w:space="0"/>
        </w:pBdr>
        <w:spacing w:before="163" w:after="163" w:line="360" w:lineRule="auto"/>
        <w:ind w:firstLine="480"/>
        <w:jc w:val="center"/>
        <w:rPr>
          <w:rFonts w:eastAsia="Calibri"/>
          <w:color w:val="auto"/>
          <w:sz w:val="24"/>
          <w:lang w:eastAsia="zh-CN"/>
        </w:rPr>
      </w:pPr>
      <w:r>
        <w:rPr>
          <w:rFonts w:ascii="Calibri" w:hAnsi="Calibri" w:eastAsia="Calibri" w:cs="宋体"/>
          <w:sz w:val="24"/>
          <w:lang w:eastAsia="zh-CN"/>
        </w:rPr>
        <w:drawing>
          <wp:inline distT="0" distB="0" distL="0" distR="0">
            <wp:extent cx="5084445" cy="2045335"/>
            <wp:effectExtent l="0" t="0" r="1905" b="0"/>
            <wp:docPr id="561" name="图表 9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289" w:name="_Toc129867573"/>
      <w:r>
        <w:rPr>
          <w:rFonts w:hint="eastAsia" w:eastAsia="黑体"/>
          <w:b/>
          <w:sz w:val="21"/>
          <w:lang w:eastAsia="zh-CN"/>
        </w:rPr>
        <w:t>图4.43</w:t>
      </w:r>
      <w:r>
        <w:rPr>
          <w:rFonts w:eastAsia="黑体"/>
          <w:b/>
          <w:sz w:val="21"/>
          <w:lang w:eastAsia="zh-CN"/>
        </w:rPr>
        <w:t xml:space="preserve"> </w:t>
      </w:r>
      <w:r>
        <w:rPr>
          <w:rFonts w:hint="eastAsia" w:eastAsia="黑体"/>
          <w:b/>
          <w:sz w:val="21"/>
          <w:lang w:eastAsia="zh-CN"/>
        </w:rPr>
        <w:t xml:space="preserve"> </w:t>
      </w:r>
      <w:r>
        <w:rPr>
          <w:rFonts w:eastAsia="黑体"/>
          <w:b/>
          <w:sz w:val="21"/>
          <w:lang w:eastAsia="zh-CN"/>
        </w:rPr>
        <w:t>2020-2022届</w:t>
      </w:r>
      <w:r>
        <w:rPr>
          <w:rFonts w:hint="eastAsia" w:eastAsia="黑体"/>
          <w:b/>
          <w:sz w:val="21"/>
          <w:lang w:eastAsia="zh-CN"/>
        </w:rPr>
        <w:t>毕业生出国/出境</w:t>
      </w:r>
      <w:r>
        <w:rPr>
          <w:rFonts w:hint="eastAsia" w:eastAsia="黑体"/>
          <w:b/>
          <w:bCs/>
          <w:sz w:val="21"/>
          <w:lang w:eastAsia="zh-CN"/>
        </w:rPr>
        <w:t>升学率</w:t>
      </w:r>
      <w:r>
        <w:rPr>
          <w:rFonts w:eastAsia="黑体"/>
          <w:b/>
          <w:sz w:val="21"/>
          <w:lang w:eastAsia="zh-CN"/>
        </w:rPr>
        <w:t>对比分析</w:t>
      </w:r>
      <w:bookmarkEnd w:id="289"/>
      <w:r>
        <w:rPr>
          <w:rFonts w:hint="eastAsia" w:eastAsia="黑体"/>
          <w:b/>
          <w:sz w:val="21"/>
          <w:lang w:eastAsia="zh-CN"/>
        </w:rPr>
        <w:t xml:space="preserve"> </w:t>
      </w:r>
    </w:p>
    <w:p>
      <w:pPr>
        <w:rPr>
          <w:snapToGrid/>
          <w:sz w:val="21"/>
          <w:lang w:eastAsia="zh-CN"/>
        </w:rPr>
      </w:pPr>
      <w:r>
        <w:rPr>
          <w:rFonts w:hint="eastAsia" w:ascii="仿宋" w:hAnsi="仿宋"/>
          <w:sz w:val="21"/>
          <w:lang w:eastAsia="zh-CN"/>
        </w:rPr>
        <w:t>数据来源：北京新锦成教育技术有限公司</w:t>
      </w:r>
    </w:p>
    <w:p>
      <w:pPr>
        <w:ind w:firstLine="640"/>
        <w:rPr>
          <w:lang w:val="zh-CN" w:eastAsia="zh-CN"/>
        </w:rPr>
      </w:pPr>
      <w:r>
        <w:rPr>
          <w:rFonts w:hint="eastAsia"/>
          <w:lang w:val="zh-CN" w:eastAsia="zh-CN"/>
        </w:rPr>
        <w:t>留学目的</w:t>
      </w:r>
      <w:r>
        <w:rPr>
          <w:rFonts w:hint="eastAsia"/>
          <w:lang w:eastAsia="zh-CN"/>
        </w:rPr>
        <w:t>：</w:t>
      </w:r>
      <w:r>
        <w:rPr>
          <w:lang w:val="zh-CN" w:eastAsia="zh-CN"/>
        </w:rPr>
        <w:t>本校</w:t>
      </w:r>
      <w:r>
        <w:rPr>
          <w:lang w:eastAsia="zh-CN"/>
        </w:rPr>
        <w:t>2022届</w:t>
      </w:r>
      <w:r>
        <w:rPr>
          <w:rFonts w:hint="eastAsia"/>
          <w:lang w:eastAsia="zh-CN"/>
        </w:rPr>
        <w:t>毕业生</w:t>
      </w:r>
      <w:r>
        <w:rPr>
          <w:rFonts w:hint="eastAsia"/>
          <w:lang w:val="zh-CN" w:eastAsia="zh-CN"/>
        </w:rPr>
        <w:t>留学的最主要目的是“提高语言水平”（23.08%）</w:t>
      </w:r>
      <w:r>
        <w:rPr>
          <w:lang w:val="zh-CN" w:eastAsia="zh-CN"/>
        </w:rPr>
        <w:t>。</w:t>
      </w:r>
    </w:p>
    <w:p>
      <w:pPr>
        <w:pBdr>
          <w:top w:val="none" w:color="000000" w:sz="0" w:space="0"/>
          <w:left w:val="none" w:color="000000" w:sz="0" w:space="0"/>
          <w:bottom w:val="none" w:color="000000" w:sz="0" w:space="0"/>
          <w:right w:val="none" w:color="000000" w:sz="0" w:space="0"/>
          <w:between w:val="none" w:color="000000" w:sz="0" w:space="0"/>
        </w:pBdr>
        <w:spacing w:before="120" w:after="120" w:line="360" w:lineRule="auto"/>
        <w:ind w:firstLine="480"/>
        <w:jc w:val="both"/>
        <w:rPr>
          <w:rFonts w:eastAsia="宋体"/>
          <w:sz w:val="24"/>
          <w:lang w:val="zh-CN" w:eastAsia="zh-CN"/>
        </w:rPr>
      </w:pPr>
      <w:r>
        <w:rPr>
          <w:rFonts w:eastAsia="宋体" w:cs="宋体"/>
          <w:sz w:val="24"/>
          <w:lang w:eastAsia="zh-CN"/>
        </w:rPr>
        <w:drawing>
          <wp:inline distT="0" distB="0" distL="0" distR="0">
            <wp:extent cx="5018405" cy="2594610"/>
            <wp:effectExtent l="0" t="0" r="0" b="0"/>
            <wp:docPr id="56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290" w:name="_Toc129867574"/>
      <w:r>
        <w:rPr>
          <w:rFonts w:hint="eastAsia" w:eastAsia="黑体"/>
          <w:b/>
          <w:sz w:val="21"/>
          <w:lang w:eastAsia="zh-CN"/>
        </w:rPr>
        <w:t>图4.44</w:t>
      </w:r>
      <w:r>
        <w:rPr>
          <w:rFonts w:eastAsia="黑体"/>
          <w:b/>
          <w:sz w:val="21"/>
          <w:lang w:eastAsia="zh-CN"/>
        </w:rPr>
        <w:t xml:space="preserve"> </w:t>
      </w:r>
      <w:r>
        <w:rPr>
          <w:rFonts w:hint="eastAsia" w:eastAsia="黑体"/>
          <w:b/>
          <w:sz w:val="21"/>
          <w:lang w:eastAsia="zh-CN"/>
        </w:rPr>
        <w:t xml:space="preserve"> 2022届毕业生留学原因</w:t>
      </w:r>
      <w:r>
        <w:rPr>
          <w:rFonts w:eastAsia="黑体"/>
          <w:b/>
          <w:sz w:val="21"/>
          <w:lang w:eastAsia="zh-CN"/>
        </w:rPr>
        <w:t>分布</w:t>
      </w:r>
      <w:bookmarkEnd w:id="290"/>
      <w:r>
        <w:rPr>
          <w:rFonts w:hint="eastAsia" w:eastAsia="黑体"/>
          <w:b/>
          <w:sz w:val="21"/>
          <w:lang w:eastAsia="zh-CN"/>
        </w:rPr>
        <w:t xml:space="preserve"> </w:t>
      </w:r>
    </w:p>
    <w:p>
      <w:pPr>
        <w:rPr>
          <w:snapToGrid/>
          <w:sz w:val="21"/>
          <w:lang w:eastAsia="zh-CN"/>
        </w:rPr>
      </w:pPr>
      <w:r>
        <w:rPr>
          <w:rFonts w:hint="eastAsia" w:ascii="仿宋" w:hAnsi="仿宋"/>
          <w:sz w:val="21"/>
          <w:lang w:eastAsia="zh-CN"/>
        </w:rPr>
        <w:t>数据来源：北京新锦成教育技术有限公司</w:t>
      </w:r>
    </w:p>
    <w:p>
      <w:pPr>
        <w:ind w:firstLine="640"/>
        <w:rPr>
          <w:lang w:val="zh-CN" w:eastAsia="zh-CN"/>
        </w:rPr>
      </w:pPr>
      <w:r>
        <w:rPr>
          <w:rFonts w:hint="eastAsia"/>
          <w:lang w:eastAsia="zh-CN"/>
        </w:rPr>
        <w:t>留学录取结果满意度：</w:t>
      </w:r>
      <w:r>
        <w:rPr>
          <w:lang w:val="zh-CN" w:eastAsia="zh-CN"/>
        </w:rPr>
        <w:t>本校2022届</w:t>
      </w:r>
      <w:r>
        <w:rPr>
          <w:rFonts w:hint="eastAsia"/>
          <w:lang w:val="zh-CN" w:eastAsia="zh-CN"/>
        </w:rPr>
        <w:t>毕业生对录取结果的满意度为58.33%，其中认为“很满意”的占比为20.83%。</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163" w:after="163" w:line="360" w:lineRule="auto"/>
        <w:ind w:firstLine="0" w:firstLineChars="0"/>
        <w:jc w:val="center"/>
        <w:textAlignment w:val="auto"/>
        <w:rPr>
          <w:rFonts w:eastAsia="宋体"/>
          <w:snapToGrid/>
          <w:sz w:val="24"/>
          <w:lang w:eastAsia="zh-CN"/>
        </w:rPr>
      </w:pPr>
      <w:r>
        <w:rPr>
          <w:rFonts w:eastAsia="宋体"/>
          <w:snapToGrid/>
          <w:sz w:val="24"/>
          <w:szCs w:val="24"/>
          <w:lang w:eastAsia="zh-CN"/>
        </w:rPr>
        <w:drawing>
          <wp:inline distT="0" distB="0" distL="0" distR="0">
            <wp:extent cx="3186430" cy="2077085"/>
            <wp:effectExtent l="0" t="0" r="13970" b="18415"/>
            <wp:docPr id="563" name="图表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291" w:name="_Toc129867575"/>
      <w:r>
        <w:rPr>
          <w:rFonts w:hint="eastAsia" w:eastAsia="黑体"/>
          <w:b/>
          <w:sz w:val="21"/>
          <w:lang w:eastAsia="zh-CN"/>
        </w:rPr>
        <w:t>图4.45</w:t>
      </w:r>
      <w:r>
        <w:rPr>
          <w:rFonts w:eastAsia="黑体"/>
          <w:b/>
          <w:sz w:val="21"/>
          <w:lang w:eastAsia="zh-CN"/>
        </w:rPr>
        <w:t xml:space="preserve"> </w:t>
      </w:r>
      <w:r>
        <w:rPr>
          <w:rFonts w:hint="eastAsia" w:eastAsia="黑体"/>
          <w:b/>
          <w:sz w:val="21"/>
          <w:lang w:eastAsia="zh-CN"/>
        </w:rPr>
        <w:t xml:space="preserve"> 2022届毕业生留学录取结果满意度</w:t>
      </w:r>
      <w:bookmarkEnd w:id="291"/>
      <w:r>
        <w:rPr>
          <w:rFonts w:hint="eastAsia" w:eastAsia="黑体"/>
          <w:b/>
          <w:sz w:val="21"/>
          <w:lang w:eastAsia="zh-CN"/>
        </w:rPr>
        <w:t xml:space="preserve"> </w:t>
      </w:r>
    </w:p>
    <w:p>
      <w:pPr>
        <w:rPr>
          <w:snapToGrid/>
          <w:sz w:val="21"/>
          <w:lang w:eastAsia="zh-CN"/>
        </w:rPr>
      </w:pPr>
      <w:r>
        <w:rPr>
          <w:rFonts w:hint="eastAsia" w:ascii="仿宋" w:hAnsi="仿宋"/>
          <w:sz w:val="21"/>
          <w:lang w:eastAsia="zh-CN"/>
        </w:rPr>
        <w:t>数据来源：北京新锦成教育技术有限公司</w:t>
      </w:r>
    </w:p>
    <w:p>
      <w:pPr>
        <w:ind w:firstLine="640"/>
        <w:rPr>
          <w:lang w:val="zh-CN" w:eastAsia="zh-CN"/>
        </w:rPr>
      </w:pPr>
      <w:r>
        <w:rPr>
          <w:rFonts w:hint="eastAsia"/>
          <w:lang w:val="zh-CN" w:eastAsia="zh-CN"/>
        </w:rPr>
        <w:t>留学</w:t>
      </w:r>
      <w:r>
        <w:rPr>
          <w:lang w:val="zh-CN" w:eastAsia="zh-CN"/>
        </w:rPr>
        <w:t>专业</w:t>
      </w:r>
      <w:r>
        <w:rPr>
          <w:rFonts w:hint="eastAsia"/>
          <w:lang w:val="zh-CN" w:eastAsia="zh-CN"/>
        </w:rPr>
        <w:t>相关情况：</w:t>
      </w:r>
      <w:r>
        <w:rPr>
          <w:lang w:val="zh-CN" w:eastAsia="zh-CN"/>
        </w:rPr>
        <w:t>本校2022届</w:t>
      </w:r>
      <w:r>
        <w:rPr>
          <w:rFonts w:hint="eastAsia"/>
          <w:lang w:val="zh-CN" w:eastAsia="zh-CN"/>
        </w:rPr>
        <w:t>毕业生留学</w:t>
      </w:r>
      <w:r>
        <w:rPr>
          <w:lang w:val="zh-CN" w:eastAsia="zh-CN"/>
        </w:rPr>
        <w:t>专业</w:t>
      </w:r>
      <w:r>
        <w:rPr>
          <w:rFonts w:hint="eastAsia"/>
          <w:lang w:val="zh-CN" w:eastAsia="zh-CN"/>
        </w:rPr>
        <w:t>相关度为50.00%，可见大部分学生还是在本专业或相关专业继续深造。毕业生跨专业留学原因主要为“容易考上”（36.36%）。</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163" w:after="163" w:line="360" w:lineRule="auto"/>
        <w:ind w:firstLine="0" w:firstLineChars="0"/>
        <w:jc w:val="center"/>
        <w:textAlignment w:val="auto"/>
        <w:rPr>
          <w:rFonts w:eastAsia="宋体"/>
          <w:snapToGrid/>
          <w:sz w:val="24"/>
          <w:lang w:eastAsia="zh-CN"/>
        </w:rPr>
      </w:pPr>
      <w:r>
        <w:rPr>
          <w:rFonts w:eastAsia="宋体"/>
          <w:snapToGrid/>
          <w:sz w:val="24"/>
          <w:szCs w:val="24"/>
          <w:lang w:eastAsia="zh-CN"/>
        </w:rPr>
        <w:drawing>
          <wp:inline distT="0" distB="0" distL="0" distR="0">
            <wp:extent cx="3074035" cy="1691640"/>
            <wp:effectExtent l="4445" t="5080" r="7620" b="5080"/>
            <wp:docPr id="564" name="图表 5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292" w:name="_Toc129867576"/>
      <w:r>
        <w:rPr>
          <w:rFonts w:hint="eastAsia" w:eastAsia="黑体"/>
          <w:b/>
          <w:sz w:val="21"/>
          <w:lang w:eastAsia="zh-CN"/>
        </w:rPr>
        <w:t>图4.46</w:t>
      </w:r>
      <w:r>
        <w:rPr>
          <w:rFonts w:eastAsia="黑体"/>
          <w:b/>
          <w:sz w:val="21"/>
          <w:lang w:eastAsia="zh-CN"/>
        </w:rPr>
        <w:t xml:space="preserve"> </w:t>
      </w:r>
      <w:r>
        <w:rPr>
          <w:rFonts w:hint="eastAsia" w:eastAsia="黑体"/>
          <w:b/>
          <w:sz w:val="21"/>
          <w:lang w:eastAsia="zh-CN"/>
        </w:rPr>
        <w:t xml:space="preserve"> 2022届毕业生留学专业与</w:t>
      </w:r>
      <w:r>
        <w:rPr>
          <w:rFonts w:eastAsia="黑体"/>
          <w:b/>
          <w:sz w:val="21"/>
          <w:lang w:eastAsia="zh-CN"/>
        </w:rPr>
        <w:t>原专业</w:t>
      </w:r>
      <w:r>
        <w:rPr>
          <w:rFonts w:hint="eastAsia" w:eastAsia="黑体"/>
          <w:b/>
          <w:sz w:val="21"/>
          <w:lang w:eastAsia="zh-CN"/>
        </w:rPr>
        <w:t>相关度</w:t>
      </w:r>
      <w:r>
        <w:rPr>
          <w:rFonts w:eastAsia="黑体"/>
          <w:b/>
          <w:sz w:val="21"/>
          <w:lang w:eastAsia="zh-CN"/>
        </w:rPr>
        <w:t>分布</w:t>
      </w:r>
      <w:bookmarkEnd w:id="292"/>
      <w:r>
        <w:rPr>
          <w:rFonts w:hint="eastAsia" w:eastAsia="黑体"/>
          <w:b/>
          <w:sz w:val="21"/>
          <w:lang w:eastAsia="zh-CN"/>
        </w:rPr>
        <w:t xml:space="preserve"> </w:t>
      </w:r>
    </w:p>
    <w:p>
      <w:pPr>
        <w:rPr>
          <w:snapToGrid/>
          <w:sz w:val="21"/>
          <w:lang w:eastAsia="zh-CN"/>
        </w:rPr>
      </w:pPr>
      <w:r>
        <w:rPr>
          <w:rFonts w:hint="eastAsia" w:ascii="仿宋" w:hAnsi="仿宋"/>
          <w:sz w:val="21"/>
          <w:lang w:eastAsia="zh-CN"/>
        </w:rPr>
        <w:t>数据来源：北京新锦成教育技术有限公司</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163" w:after="163" w:line="360" w:lineRule="auto"/>
        <w:ind w:firstLine="0" w:firstLineChars="0"/>
        <w:jc w:val="center"/>
        <w:textAlignment w:val="auto"/>
        <w:rPr>
          <w:rFonts w:eastAsia="宋体"/>
          <w:snapToGrid/>
          <w:sz w:val="24"/>
          <w:lang w:eastAsia="zh-CN"/>
        </w:rPr>
      </w:pPr>
      <w:r>
        <w:rPr>
          <w:rFonts w:eastAsia="宋体" w:cs="宋体"/>
          <w:snapToGrid/>
          <w:sz w:val="24"/>
          <w:lang w:eastAsia="zh-CN"/>
        </w:rPr>
        <w:drawing>
          <wp:inline distT="0" distB="0" distL="0" distR="0">
            <wp:extent cx="4868545" cy="1802765"/>
            <wp:effectExtent l="0" t="0" r="8255" b="635"/>
            <wp:docPr id="565"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293" w:name="_Toc129867578"/>
      <w:r>
        <w:rPr>
          <w:rFonts w:hint="eastAsia" w:eastAsia="黑体"/>
          <w:b/>
          <w:sz w:val="21"/>
          <w:lang w:eastAsia="zh-CN"/>
        </w:rPr>
        <w:t>图4.47</w:t>
      </w:r>
      <w:r>
        <w:rPr>
          <w:rFonts w:eastAsia="黑体"/>
          <w:b/>
          <w:sz w:val="21"/>
          <w:lang w:eastAsia="zh-CN"/>
        </w:rPr>
        <w:t xml:space="preserve"> </w:t>
      </w:r>
      <w:r>
        <w:rPr>
          <w:rFonts w:hint="eastAsia" w:eastAsia="黑体"/>
          <w:b/>
          <w:sz w:val="21"/>
          <w:lang w:eastAsia="zh-CN"/>
        </w:rPr>
        <w:t xml:space="preserve"> 2022届毕业生跨专业留学原因</w:t>
      </w:r>
      <w:bookmarkEnd w:id="293"/>
    </w:p>
    <w:p>
      <w:pPr>
        <w:rPr>
          <w:snapToGrid/>
          <w:sz w:val="21"/>
          <w:lang w:eastAsia="zh-CN"/>
        </w:rPr>
      </w:pPr>
      <w:r>
        <w:rPr>
          <w:rFonts w:hint="eastAsia" w:ascii="仿宋" w:hAnsi="仿宋"/>
          <w:sz w:val="21"/>
          <w:lang w:eastAsia="zh-CN"/>
        </w:rPr>
        <w:t>数据来源：北京新锦成教育技术有限公司</w:t>
      </w:r>
    </w:p>
    <w:p>
      <w:pPr>
        <w:pStyle w:val="2"/>
        <w:ind w:firstLine="640"/>
        <w:rPr>
          <w:lang w:eastAsia="zh-CN"/>
        </w:rPr>
      </w:pPr>
      <w:bookmarkStart w:id="294" w:name="_Toc130307166"/>
      <w:bookmarkStart w:id="295" w:name="_Toc151887786"/>
      <w:bookmarkStart w:id="296" w:name="_Toc148372497"/>
      <w:r>
        <w:rPr>
          <w:rFonts w:hint="eastAsia"/>
          <w:lang w:eastAsia="zh-CN"/>
        </w:rPr>
        <w:t>三</w:t>
      </w:r>
      <w:r>
        <w:rPr>
          <w:lang w:eastAsia="zh-CN"/>
        </w:rPr>
        <w:t>、</w:t>
      </w:r>
      <w:r>
        <w:rPr>
          <w:rFonts w:hint="eastAsia"/>
          <w:lang w:eastAsia="zh-CN"/>
        </w:rPr>
        <w:t>创业基本情况</w:t>
      </w:r>
      <w:bookmarkEnd w:id="294"/>
      <w:bookmarkEnd w:id="295"/>
      <w:bookmarkEnd w:id="296"/>
    </w:p>
    <w:p>
      <w:pPr>
        <w:ind w:firstLine="640"/>
        <w:rPr>
          <w:lang w:eastAsia="zh-CN"/>
        </w:rPr>
      </w:pPr>
      <w:r>
        <w:rPr>
          <w:rFonts w:hint="eastAsia"/>
          <w:lang w:eastAsia="zh-CN"/>
        </w:rPr>
        <w:t>创业率：调查结果显示，本</w:t>
      </w:r>
      <w:r>
        <w:rPr>
          <w:lang w:val="zh-CN" w:eastAsia="zh-CN"/>
        </w:rPr>
        <w:t>校2022</w:t>
      </w:r>
      <w:r>
        <w:rPr>
          <w:rFonts w:hint="eastAsia"/>
          <w:lang w:val="zh-CN" w:eastAsia="zh-CN"/>
        </w:rPr>
        <w:t>届毕业生创业率</w:t>
      </w:r>
      <w:r>
        <w:rPr>
          <w:lang w:val="zh-CN" w:eastAsia="zh-CN"/>
        </w:rPr>
        <w:t>为</w:t>
      </w:r>
      <w:r>
        <w:rPr>
          <w:rFonts w:hint="eastAsia"/>
          <w:lang w:val="zh-CN" w:eastAsia="zh-CN"/>
        </w:rPr>
        <w:t>2.71%，比全国高校</w:t>
      </w:r>
      <w:r>
        <w:rPr>
          <w:lang w:val="zh-CN" w:eastAsia="zh-CN"/>
        </w:rPr>
        <w:t>2022</w:t>
      </w:r>
      <w:r>
        <w:rPr>
          <w:rFonts w:hint="eastAsia"/>
          <w:lang w:val="zh-CN" w:eastAsia="zh-CN"/>
        </w:rPr>
        <w:t>届毕业生创业率（</w:t>
      </w:r>
      <w:r>
        <w:rPr>
          <w:lang w:val="zh-CN" w:eastAsia="zh-CN"/>
        </w:rPr>
        <w:t>2.08%</w:t>
      </w:r>
      <w:r>
        <w:rPr>
          <w:rFonts w:hint="eastAsia"/>
          <w:lang w:val="zh-CN" w:eastAsia="zh-CN"/>
        </w:rPr>
        <w:t>）高</w:t>
      </w:r>
      <w:r>
        <w:rPr>
          <w:lang w:val="zh-CN" w:eastAsia="zh-CN"/>
        </w:rPr>
        <w:t>0.63</w:t>
      </w:r>
      <w:r>
        <w:rPr>
          <w:lang w:eastAsia="zh-CN"/>
        </w:rPr>
        <w:t>个百分点；其中，2020-2021届毕业生创业率为4.77%</w:t>
      </w:r>
      <w:r>
        <w:rPr>
          <w:rFonts w:hint="eastAsia"/>
          <w:lang w:eastAsia="zh-CN"/>
        </w:rPr>
        <w:t>、</w:t>
      </w:r>
      <w:r>
        <w:rPr>
          <w:lang w:eastAsia="zh-CN"/>
        </w:rPr>
        <w:t>2.92%。</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line="240" w:lineRule="auto"/>
        <w:ind w:firstLine="0" w:firstLineChars="0"/>
        <w:jc w:val="center"/>
        <w:textAlignment w:val="auto"/>
        <w:rPr>
          <w:rFonts w:eastAsia="宋体"/>
          <w:snapToGrid/>
          <w:sz w:val="24"/>
          <w:szCs w:val="24"/>
          <w:lang w:eastAsia="zh-CN"/>
        </w:rPr>
      </w:pPr>
      <w:r>
        <w:rPr>
          <w:rFonts w:eastAsia="宋体"/>
          <w:snapToGrid/>
          <w:sz w:val="24"/>
          <w:lang w:eastAsia="zh-CN"/>
        </w:rPr>
        <w:drawing>
          <wp:inline distT="0" distB="0" distL="0" distR="0">
            <wp:extent cx="5427980" cy="1971040"/>
            <wp:effectExtent l="0" t="0" r="1270" b="0"/>
            <wp:docPr id="566" name="图表 9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297" w:name="_Toc129867579"/>
      <w:r>
        <w:rPr>
          <w:rFonts w:hint="eastAsia" w:eastAsia="黑体"/>
          <w:b/>
          <w:sz w:val="21"/>
          <w:lang w:eastAsia="zh-CN"/>
        </w:rPr>
        <w:t>图4.48</w:t>
      </w:r>
      <w:r>
        <w:rPr>
          <w:rFonts w:eastAsia="黑体"/>
          <w:b/>
          <w:sz w:val="21"/>
          <w:lang w:eastAsia="zh-CN"/>
        </w:rPr>
        <w:t xml:space="preserve"> </w:t>
      </w:r>
      <w:r>
        <w:rPr>
          <w:rFonts w:hint="eastAsia" w:eastAsia="黑体"/>
          <w:b/>
          <w:sz w:val="21"/>
          <w:lang w:eastAsia="zh-CN"/>
        </w:rPr>
        <w:t xml:space="preserve"> </w:t>
      </w:r>
      <w:r>
        <w:rPr>
          <w:rFonts w:eastAsia="黑体"/>
          <w:b/>
          <w:sz w:val="21"/>
          <w:lang w:eastAsia="zh-CN"/>
        </w:rPr>
        <w:t>2020-2022届</w:t>
      </w:r>
      <w:r>
        <w:rPr>
          <w:rFonts w:hint="eastAsia" w:eastAsia="黑体"/>
          <w:b/>
          <w:sz w:val="21"/>
          <w:lang w:eastAsia="zh-CN"/>
        </w:rPr>
        <w:t>毕业生创业率</w:t>
      </w:r>
      <w:r>
        <w:rPr>
          <w:rFonts w:eastAsia="黑体"/>
          <w:b/>
          <w:sz w:val="21"/>
          <w:lang w:eastAsia="zh-CN"/>
        </w:rPr>
        <w:t>对比分析</w:t>
      </w:r>
      <w:bookmarkEnd w:id="297"/>
      <w:r>
        <w:rPr>
          <w:rFonts w:hint="eastAsia" w:eastAsia="黑体"/>
          <w:b/>
          <w:sz w:val="21"/>
          <w:lang w:eastAsia="zh-CN"/>
        </w:rPr>
        <w:t xml:space="preserve"> </w:t>
      </w:r>
    </w:p>
    <w:p>
      <w:pPr>
        <w:rPr>
          <w:snapToGrid/>
          <w:sz w:val="21"/>
          <w:lang w:eastAsia="zh-CN"/>
        </w:rPr>
      </w:pPr>
      <w:r>
        <w:rPr>
          <w:rFonts w:hint="eastAsia" w:ascii="仿宋" w:hAnsi="仿宋"/>
          <w:sz w:val="21"/>
          <w:lang w:eastAsia="zh-CN"/>
        </w:rPr>
        <w:t>数据来源：北京新锦成教育技术有限公司</w:t>
      </w:r>
    </w:p>
    <w:p>
      <w:pPr>
        <w:ind w:firstLine="640"/>
        <w:rPr>
          <w:lang w:eastAsia="zh-CN"/>
        </w:rPr>
      </w:pPr>
      <w:r>
        <w:rPr>
          <w:lang w:eastAsia="zh-CN"/>
        </w:rPr>
        <w:t>创业行业分布：</w:t>
      </w:r>
      <w:r>
        <w:rPr>
          <w:lang w:val="zh-CN" w:eastAsia="zh-CN"/>
        </w:rPr>
        <w:t>2022届毕业生</w:t>
      </w:r>
      <w:r>
        <w:rPr>
          <w:lang w:eastAsia="zh-CN"/>
        </w:rPr>
        <w:t>创业行业主要集中在</w:t>
      </w:r>
      <w:r>
        <w:rPr>
          <w:rFonts w:hint="eastAsia"/>
          <w:lang w:val="zh-CN" w:eastAsia="zh-CN"/>
        </w:rPr>
        <w:t>“住宿和餐饮业”（26.67%）</w:t>
      </w:r>
      <w:r>
        <w:rPr>
          <w:lang w:val="zh-CN" w:eastAsia="zh-CN"/>
        </w:rPr>
        <w:t>和</w:t>
      </w:r>
      <w:r>
        <w:rPr>
          <w:rFonts w:hint="eastAsia"/>
          <w:lang w:val="zh-CN" w:eastAsia="zh-CN"/>
        </w:rPr>
        <w:t>“批发和零售业”（24.44%）</w:t>
      </w:r>
      <w:r>
        <w:rPr>
          <w:lang w:val="zh-CN" w:eastAsia="zh-CN"/>
        </w:rPr>
        <w:t>行业</w:t>
      </w:r>
      <w:r>
        <w:rPr>
          <w:lang w:eastAsia="zh-CN"/>
        </w:rPr>
        <w:t>。</w:t>
      </w:r>
    </w:p>
    <w:p>
      <w:pPr>
        <w:pBdr>
          <w:top w:val="none" w:color="000000" w:sz="0" w:space="0"/>
          <w:left w:val="none" w:color="000000" w:sz="0" w:space="0"/>
          <w:bottom w:val="none" w:color="000000" w:sz="0" w:space="0"/>
          <w:right w:val="none" w:color="000000" w:sz="0" w:space="0"/>
          <w:between w:val="none" w:color="000000" w:sz="0" w:space="0"/>
        </w:pBdr>
        <w:spacing w:line="360" w:lineRule="auto"/>
        <w:ind w:firstLine="480"/>
        <w:jc w:val="both"/>
        <w:rPr>
          <w:rFonts w:eastAsia="Calibri" w:cs="宋体"/>
          <w:color w:val="auto"/>
          <w:sz w:val="24"/>
          <w:lang w:eastAsia="zh-CN"/>
        </w:rPr>
      </w:pPr>
      <w:r>
        <w:rPr>
          <w:rFonts w:eastAsia="Calibri" w:cs="宋体"/>
          <w:sz w:val="24"/>
          <w:lang w:eastAsia="zh-CN"/>
        </w:rPr>
        <w:drawing>
          <wp:inline distT="0" distB="0" distL="0" distR="0">
            <wp:extent cx="4962525" cy="3143250"/>
            <wp:effectExtent l="0" t="0" r="0" b="0"/>
            <wp:docPr id="567"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宋体"/>
          <w:b/>
          <w:sz w:val="24"/>
          <w:szCs w:val="24"/>
          <w:lang w:eastAsia="zh-CN"/>
        </w:rPr>
      </w:pPr>
      <w:bookmarkStart w:id="298" w:name="_Toc129867580"/>
      <w:r>
        <w:rPr>
          <w:rFonts w:hint="eastAsia" w:eastAsia="黑体"/>
          <w:b/>
          <w:sz w:val="21"/>
          <w:lang w:eastAsia="zh-CN"/>
        </w:rPr>
        <w:t>图4.49</w:t>
      </w:r>
      <w:r>
        <w:rPr>
          <w:rFonts w:eastAsia="黑体"/>
          <w:b/>
          <w:sz w:val="21"/>
          <w:lang w:eastAsia="zh-CN"/>
        </w:rPr>
        <w:t xml:space="preserve"> </w:t>
      </w:r>
      <w:r>
        <w:rPr>
          <w:rFonts w:hint="eastAsia" w:eastAsia="黑体"/>
          <w:b/>
          <w:sz w:val="21"/>
          <w:lang w:eastAsia="zh-CN"/>
        </w:rPr>
        <w:t xml:space="preserve"> 2022届毕业生创业</w:t>
      </w:r>
      <w:r>
        <w:rPr>
          <w:rFonts w:eastAsia="黑体"/>
          <w:b/>
          <w:sz w:val="21"/>
          <w:lang w:eastAsia="zh-CN"/>
        </w:rPr>
        <w:t>行业分布</w:t>
      </w:r>
      <w:bookmarkEnd w:id="298"/>
      <w:r>
        <w:rPr>
          <w:rFonts w:eastAsia="黑体"/>
          <w:b/>
          <w:sz w:val="21"/>
          <w:lang w:eastAsia="zh-CN"/>
        </w:rPr>
        <w:t xml:space="preserve"> </w:t>
      </w:r>
      <w:r>
        <w:rPr>
          <w:rFonts w:eastAsia="宋体"/>
          <w:b/>
          <w:sz w:val="24"/>
          <w:szCs w:val="24"/>
          <w:lang w:eastAsia="zh-CN"/>
        </w:rPr>
        <w:t xml:space="preserve">  </w:t>
      </w:r>
    </w:p>
    <w:p>
      <w:pPr>
        <w:rPr>
          <w:snapToGrid/>
          <w:sz w:val="21"/>
          <w:lang w:eastAsia="zh-CN"/>
        </w:rPr>
      </w:pPr>
      <w:r>
        <w:rPr>
          <w:rFonts w:hint="eastAsia" w:ascii="仿宋" w:hAnsi="仿宋"/>
          <w:sz w:val="21"/>
          <w:lang w:eastAsia="zh-CN"/>
        </w:rPr>
        <w:t>数据来源：北京新锦成教育技术有限公司</w:t>
      </w:r>
    </w:p>
    <w:p>
      <w:pPr>
        <w:ind w:firstLine="640"/>
        <w:rPr>
          <w:lang w:val="zh-CN" w:eastAsia="zh-CN"/>
        </w:rPr>
      </w:pPr>
      <w:r>
        <w:rPr>
          <w:rFonts w:hint="eastAsia"/>
          <w:lang w:val="zh-CN" w:eastAsia="zh-CN"/>
        </w:rPr>
        <w:t>专业知识对创业的帮助度：2022届毕业生所学专业知识对创业的帮助度为65.91%。其中，认为专业知识“有很大帮助”的占</w:t>
      </w:r>
      <w:r>
        <w:rPr>
          <w:rFonts w:hint="eastAsia"/>
          <w:lang w:eastAsia="zh-CN"/>
        </w:rPr>
        <w:t>11.36%</w:t>
      </w:r>
      <w:r>
        <w:rPr>
          <w:rFonts w:hint="eastAsia"/>
          <w:lang w:val="zh-CN" w:eastAsia="zh-CN"/>
        </w:rPr>
        <w:t>，认为专业知识“有较大帮助”的占</w:t>
      </w:r>
      <w:r>
        <w:rPr>
          <w:rFonts w:hint="eastAsia"/>
          <w:lang w:eastAsia="zh-CN"/>
        </w:rPr>
        <w:t>6.82%</w:t>
      </w:r>
      <w:r>
        <w:rPr>
          <w:rFonts w:hint="eastAsia"/>
          <w:lang w:val="zh-CN" w:eastAsia="zh-CN"/>
        </w:rPr>
        <w:t>。</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163" w:after="163" w:line="360" w:lineRule="auto"/>
        <w:ind w:firstLine="480" w:firstLineChars="0"/>
        <w:jc w:val="center"/>
        <w:textAlignment w:val="auto"/>
        <w:rPr>
          <w:rFonts w:eastAsia="宋体"/>
          <w:snapToGrid/>
          <w:sz w:val="24"/>
          <w:szCs w:val="24"/>
          <w:lang w:eastAsia="zh-CN"/>
        </w:rPr>
      </w:pPr>
      <w:r>
        <w:rPr>
          <w:rFonts w:eastAsia="宋体"/>
          <w:snapToGrid/>
          <w:sz w:val="24"/>
          <w:szCs w:val="24"/>
          <w:lang w:eastAsia="zh-CN"/>
        </w:rPr>
        <w:drawing>
          <wp:inline distT="0" distB="0" distL="0" distR="0">
            <wp:extent cx="4000500" cy="2453640"/>
            <wp:effectExtent l="0" t="0" r="0" b="3810"/>
            <wp:docPr id="568" name="图表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299" w:name="_Toc129867581"/>
      <w:r>
        <w:rPr>
          <w:rFonts w:hint="eastAsia" w:eastAsia="黑体"/>
          <w:b/>
          <w:sz w:val="21"/>
          <w:lang w:eastAsia="zh-CN"/>
        </w:rPr>
        <w:t>图4.50 2022届毕业生所学专业知识对创业的帮助度</w:t>
      </w:r>
      <w:bookmarkEnd w:id="299"/>
    </w:p>
    <w:p>
      <w:pPr>
        <w:rPr>
          <w:snapToGrid/>
          <w:sz w:val="21"/>
          <w:lang w:eastAsia="zh-CN"/>
        </w:rPr>
      </w:pPr>
      <w:r>
        <w:rPr>
          <w:rFonts w:hint="eastAsia" w:ascii="仿宋" w:hAnsi="仿宋"/>
          <w:sz w:val="21"/>
          <w:lang w:eastAsia="zh-CN"/>
        </w:rPr>
        <w:t>数据来源：北京新锦成教育技术有限公司</w:t>
      </w:r>
    </w:p>
    <w:p>
      <w:pPr>
        <w:ind w:firstLine="640"/>
        <w:rPr>
          <w:lang w:val="zh-CN" w:eastAsia="zh-CN"/>
        </w:rPr>
      </w:pPr>
      <w:r>
        <w:rPr>
          <w:rFonts w:hint="eastAsia"/>
          <w:lang w:val="zh-CN" w:eastAsia="zh-CN"/>
        </w:rPr>
        <w:t>创业困难：2022届毕业生在创业过程中遇到的困难主要是“资金问题”，占比为33.33%；其次是“市场推广”，占比为26.67%。</w:t>
      </w:r>
    </w:p>
    <w:p>
      <w:pPr>
        <w:pBdr>
          <w:top w:val="none" w:color="000000" w:sz="0" w:space="0"/>
          <w:left w:val="none" w:color="000000" w:sz="0" w:space="0"/>
          <w:bottom w:val="none" w:color="000000" w:sz="0" w:space="0"/>
          <w:right w:val="none" w:color="000000" w:sz="0" w:space="0"/>
          <w:between w:val="none" w:color="000000" w:sz="0" w:space="0"/>
        </w:pBdr>
        <w:kinsoku/>
        <w:autoSpaceDE/>
        <w:autoSpaceDN/>
        <w:adjustRightInd/>
        <w:snapToGrid/>
        <w:spacing w:before="163" w:after="163" w:line="360" w:lineRule="auto"/>
        <w:ind w:firstLine="480" w:firstLineChars="0"/>
        <w:jc w:val="both"/>
        <w:textAlignment w:val="auto"/>
        <w:rPr>
          <w:rFonts w:eastAsia="宋体"/>
          <w:snapToGrid/>
          <w:sz w:val="24"/>
          <w:szCs w:val="24"/>
          <w:lang w:val="zh-CN" w:eastAsia="zh-CN"/>
        </w:rPr>
      </w:pPr>
      <w:r>
        <w:rPr>
          <w:rFonts w:eastAsia="宋体"/>
          <w:snapToGrid/>
          <w:sz w:val="24"/>
          <w:szCs w:val="24"/>
          <w:lang w:eastAsia="zh-CN"/>
        </w:rPr>
        <w:drawing>
          <wp:inline distT="0" distB="0" distL="0" distR="0">
            <wp:extent cx="5018405" cy="2202815"/>
            <wp:effectExtent l="0" t="0" r="0" b="0"/>
            <wp:docPr id="569"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pPr>
        <w:pBdr>
          <w:top w:val="none" w:color="000000" w:sz="0" w:space="0"/>
          <w:left w:val="none" w:color="000000" w:sz="0" w:space="0"/>
          <w:bottom w:val="none" w:color="000000" w:sz="0" w:space="0"/>
          <w:right w:val="none" w:color="000000" w:sz="0" w:space="0"/>
          <w:between w:val="none" w:color="000000" w:sz="0" w:space="0"/>
        </w:pBdr>
        <w:spacing w:after="163"/>
        <w:ind w:firstLine="422"/>
        <w:jc w:val="center"/>
        <w:rPr>
          <w:rFonts w:eastAsia="黑体"/>
          <w:b/>
          <w:sz w:val="21"/>
          <w:lang w:eastAsia="zh-CN"/>
        </w:rPr>
      </w:pPr>
      <w:bookmarkStart w:id="300" w:name="_Toc129867582"/>
      <w:r>
        <w:rPr>
          <w:rFonts w:hint="eastAsia" w:eastAsia="黑体"/>
          <w:b/>
          <w:sz w:val="21"/>
          <w:lang w:eastAsia="zh-CN"/>
        </w:rPr>
        <w:t>图4.51</w:t>
      </w:r>
      <w:r>
        <w:rPr>
          <w:rFonts w:eastAsia="黑体"/>
          <w:b/>
          <w:sz w:val="21"/>
          <w:lang w:eastAsia="zh-CN"/>
        </w:rPr>
        <w:t xml:space="preserve"> </w:t>
      </w:r>
      <w:r>
        <w:rPr>
          <w:rFonts w:hint="eastAsia" w:eastAsia="黑体"/>
          <w:b/>
          <w:sz w:val="21"/>
          <w:lang w:eastAsia="zh-CN"/>
        </w:rPr>
        <w:t xml:space="preserve"> 2022届毕业生创业过程中遇到的困难</w:t>
      </w:r>
      <w:bookmarkEnd w:id="300"/>
    </w:p>
    <w:p>
      <w:pPr>
        <w:rPr>
          <w:snapToGrid/>
          <w:sz w:val="21"/>
          <w:lang w:eastAsia="zh-CN"/>
        </w:rPr>
      </w:pPr>
      <w:r>
        <w:rPr>
          <w:rFonts w:hint="eastAsia" w:ascii="仿宋" w:hAnsi="仿宋"/>
          <w:sz w:val="21"/>
          <w:lang w:eastAsia="zh-CN"/>
        </w:rPr>
        <w:t>数据来源：北京新锦成教育技术有限公司</w:t>
      </w:r>
    </w:p>
    <w:p>
      <w:pPr>
        <w:ind w:firstLine="880"/>
        <w:rPr>
          <w:rFonts w:ascii="宋体" w:hAnsi="宋体" w:eastAsia="宋体" w:cs="宋体"/>
          <w:spacing w:val="10"/>
          <w:sz w:val="43"/>
          <w:szCs w:val="43"/>
          <w:lang w:eastAsia="zh-CN"/>
          <w14:textOutline w14:w="7975" w14:cap="sq" w14:cmpd="sng" w14:algn="ctr">
            <w14:solidFill>
              <w14:srgbClr w14:val="000000"/>
            </w14:solidFill>
            <w14:prstDash w14:val="solid"/>
            <w14:bevel/>
          </w14:textOutline>
        </w:rPr>
      </w:pPr>
    </w:p>
    <w:p>
      <w:pPr>
        <w:ind w:firstLine="880"/>
        <w:rPr>
          <w:rFonts w:ascii="宋体" w:hAnsi="宋体" w:eastAsia="宋体" w:cs="宋体"/>
          <w:spacing w:val="10"/>
          <w:sz w:val="43"/>
          <w:szCs w:val="43"/>
          <w:lang w:eastAsia="zh-CN"/>
          <w14:textOutline w14:w="7975" w14:cap="sq" w14:cmpd="sng" w14:algn="ctr">
            <w14:solidFill>
              <w14:srgbClr w14:val="000000"/>
            </w14:solidFill>
            <w14:prstDash w14:val="solid"/>
            <w14:bevel/>
          </w14:textOutline>
        </w:rPr>
      </w:pPr>
      <w:r>
        <w:rPr>
          <w:rFonts w:ascii="宋体" w:hAnsi="宋体" w:eastAsia="宋体" w:cs="宋体"/>
          <w:spacing w:val="10"/>
          <w:sz w:val="43"/>
          <w:szCs w:val="43"/>
          <w:lang w:eastAsia="zh-CN"/>
          <w14:textOutline w14:w="7975" w14:cap="sq" w14:cmpd="sng" w14:algn="ctr">
            <w14:solidFill>
              <w14:srgbClr w14:val="000000"/>
            </w14:solidFill>
            <w14:prstDash w14:val="solid"/>
            <w14:bevel/>
          </w14:textOutline>
        </w:rPr>
        <w:br w:type="page"/>
      </w:r>
    </w:p>
    <w:p>
      <w:pPr>
        <w:ind w:firstLine="0" w:firstLineChars="0"/>
        <w:jc w:val="center"/>
        <w:outlineLvl w:val="0"/>
        <w:rPr>
          <w:rFonts w:ascii="宋体" w:hAnsi="宋体" w:eastAsia="宋体" w:cs="宋体"/>
          <w:spacing w:val="10"/>
          <w:sz w:val="43"/>
          <w:szCs w:val="43"/>
          <w:lang w:eastAsia="zh-CN"/>
          <w14:textOutline w14:w="7975" w14:cap="sq" w14:cmpd="sng" w14:algn="ctr">
            <w14:solidFill>
              <w14:srgbClr w14:val="000000"/>
            </w14:solidFill>
            <w14:prstDash w14:val="solid"/>
            <w14:bevel/>
          </w14:textOutline>
        </w:rPr>
      </w:pPr>
      <w:bookmarkStart w:id="301" w:name="_Toc151887787"/>
      <w:r>
        <w:rPr>
          <w:rFonts w:ascii="宋体" w:hAnsi="宋体" w:eastAsia="宋体" w:cs="宋体"/>
          <w:spacing w:val="10"/>
          <w:sz w:val="43"/>
          <w:szCs w:val="43"/>
          <w:lang w:eastAsia="zh-CN"/>
          <w14:textOutline w14:w="7975" w14:cap="sq" w14:cmpd="sng" w14:algn="ctr">
            <w14:solidFill>
              <w14:srgbClr w14:val="000000"/>
            </w14:solidFill>
            <w14:prstDash w14:val="solid"/>
            <w14:bevel/>
          </w14:textOutline>
        </w:rPr>
        <w:t>第五部分：毕业生就业面临的挑战和发展</w:t>
      </w:r>
      <w:bookmarkEnd w:id="301"/>
    </w:p>
    <w:p>
      <w:pPr>
        <w:pStyle w:val="2"/>
        <w:ind w:firstLine="640"/>
        <w:rPr>
          <w:lang w:eastAsia="zh-CN"/>
        </w:rPr>
      </w:pPr>
      <w:bookmarkStart w:id="302" w:name="_Toc151887788"/>
      <w:r>
        <w:rPr>
          <w:lang w:eastAsia="zh-CN"/>
        </w:rPr>
        <w:t>一、面临挑战</w:t>
      </w:r>
      <w:bookmarkEnd w:id="302"/>
    </w:p>
    <w:p>
      <w:pPr>
        <w:pStyle w:val="15"/>
        <w:ind w:firstLine="640"/>
        <w:rPr>
          <w:rFonts w:ascii="仿宋_GB2312" w:hAnsi="仿宋_GB2312" w:eastAsia="仿宋_GB2312" w:cs="仿宋_GB2312"/>
          <w:szCs w:val="32"/>
          <w:lang w:eastAsia="zh-CN"/>
        </w:rPr>
      </w:pPr>
      <w:r>
        <w:rPr>
          <w:rFonts w:hint="eastAsia" w:ascii="仿宋_GB2312" w:hAnsi="仿宋_GB2312" w:eastAsia="仿宋_GB2312" w:cs="仿宋_GB2312"/>
          <w:szCs w:val="32"/>
          <w:lang w:eastAsia="zh-CN"/>
        </w:rPr>
        <w:t>（一）部分毕业生择业观念存在“错位”现象，择业时只专注于大城市、大企业而忽略了自身的专业特色与未来发展前景，促使就业期望较高，部分毕业生对单位选择要求过高，一味追求党政机关、事业单位，不愿意去中西部等偏远地区和民营、合资等中小微企业就业。</w:t>
      </w:r>
    </w:p>
    <w:p>
      <w:pPr>
        <w:pStyle w:val="15"/>
        <w:ind w:firstLine="640"/>
        <w:rPr>
          <w:rFonts w:ascii="仿宋_GB2312" w:hAnsi="仿宋_GB2312" w:eastAsia="仿宋_GB2312" w:cs="仿宋_GB2312"/>
          <w:szCs w:val="32"/>
          <w:lang w:eastAsia="zh-CN"/>
        </w:rPr>
      </w:pPr>
      <w:r>
        <w:rPr>
          <w:rFonts w:hint="eastAsia" w:ascii="仿宋_GB2312" w:hAnsi="仿宋_GB2312" w:eastAsia="仿宋_GB2312" w:cs="仿宋_GB2312"/>
          <w:szCs w:val="32"/>
          <w:lang w:eastAsia="zh-CN"/>
        </w:rPr>
        <w:t>（二）受高校毕业生人数逐年剧增的影响，就业环境由“卖方”市场走向“买方”市场。社会对人才的需求岗位与大学生的供给总体上呈不平衡状态。</w:t>
      </w:r>
    </w:p>
    <w:p>
      <w:pPr>
        <w:ind w:firstLine="640"/>
        <w:rPr>
          <w:lang w:eastAsia="zh-CN"/>
        </w:rPr>
      </w:pPr>
      <w:r>
        <w:rPr>
          <w:rFonts w:hint="eastAsia" w:ascii="仿宋_GB2312" w:hAnsi="仿宋_GB2312" w:eastAsia="仿宋_GB2312" w:cs="仿宋_GB2312"/>
          <w:szCs w:val="32"/>
          <w:lang w:eastAsia="zh-CN"/>
        </w:rPr>
        <w:t>（三）毕业生的就业指导、推荐工作还存在一定的差距，在向用人单位推荐学生时缺乏针对性，多数时候还停留在信息发布、通知毕业生面试的层面，一定程度上影响了就业信息的利用率。</w:t>
      </w:r>
    </w:p>
    <w:p>
      <w:pPr>
        <w:pStyle w:val="2"/>
        <w:ind w:firstLine="640"/>
        <w:rPr>
          <w:lang w:eastAsia="zh-CN"/>
        </w:rPr>
      </w:pPr>
      <w:bookmarkStart w:id="303" w:name="_Toc151887789"/>
      <w:r>
        <w:rPr>
          <w:lang w:eastAsia="zh-CN"/>
        </w:rPr>
        <w:t>二、发展思路</w:t>
      </w:r>
      <w:bookmarkEnd w:id="303"/>
    </w:p>
    <w:p>
      <w:pPr>
        <w:ind w:firstLine="640"/>
        <w:rPr>
          <w:lang w:eastAsia="zh-CN"/>
        </w:rPr>
      </w:pPr>
      <w:r>
        <w:rPr>
          <w:rFonts w:hint="eastAsia"/>
          <w:lang w:eastAsia="zh-CN"/>
        </w:rPr>
        <w:t>（一）</w:t>
      </w:r>
      <w:r>
        <w:rPr>
          <w:lang w:eastAsia="zh-CN"/>
        </w:rPr>
        <w:t>学校坚持发展学生、成就教师，以人为本、和谐发展，建设幸福海科的人文理念，坚持以人才培养为中心，深化专业内涵建设，推进课程体系、教学模式改革，不断创新校企合作、产教融合的育人机制，注重加强学生基础理论知识的学习和技术技能实训，融人文素养、职业精神、职业技能为一体的育人文化初步形成，人才培养质量不断提高。</w:t>
      </w:r>
    </w:p>
    <w:p>
      <w:pPr>
        <w:ind w:firstLine="640"/>
        <w:rPr>
          <w:lang w:eastAsia="zh-CN"/>
        </w:rPr>
      </w:pPr>
      <w:r>
        <w:rPr>
          <w:rFonts w:hint="eastAsia"/>
          <w:lang w:eastAsia="zh-CN"/>
        </w:rPr>
        <w:t>（二）</w:t>
      </w:r>
      <w:r>
        <w:rPr>
          <w:lang w:eastAsia="zh-CN"/>
        </w:rPr>
        <w:t>学校坚持走产、学、研、用相结合的道路。海南科技职业大学就业工作将始终坚持学校“走产学研用一体化道路”的教育方针，在分管校领导的重视和引导下，将毕业生就业工作以市场为导向，以实现学生充分就业为目标，围绕着巩固就业率，提高签约率的总体思路，将抢抓海南自由贸易试验区、中国特色自由贸易港建设重大战略机遇，努力做好毕业生就业指导工作，努力提高毕业生就业质量，为社会培养出更多应用能力强的综合性、实用型人才。</w:t>
      </w:r>
    </w:p>
    <w:p>
      <w:pPr>
        <w:pStyle w:val="7"/>
        <w:spacing w:line="288" w:lineRule="auto"/>
        <w:rPr>
          <w:lang w:eastAsia="zh-CN"/>
        </w:rPr>
      </w:pPr>
    </w:p>
    <w:p>
      <w:pPr>
        <w:pStyle w:val="7"/>
        <w:spacing w:line="288" w:lineRule="auto"/>
        <w:rPr>
          <w:lang w:eastAsia="zh-CN"/>
        </w:rPr>
      </w:pPr>
    </w:p>
    <w:p>
      <w:pPr>
        <w:pStyle w:val="7"/>
        <w:spacing w:line="288" w:lineRule="auto"/>
        <w:rPr>
          <w:lang w:eastAsia="zh-CN"/>
        </w:rPr>
      </w:pPr>
    </w:p>
    <w:p>
      <w:pPr>
        <w:pStyle w:val="7"/>
        <w:spacing w:line="288" w:lineRule="auto"/>
        <w:rPr>
          <w:lang w:eastAsia="zh-CN"/>
        </w:rPr>
      </w:pPr>
    </w:p>
    <w:p>
      <w:pPr>
        <w:pStyle w:val="7"/>
        <w:spacing w:line="288" w:lineRule="auto"/>
        <w:rPr>
          <w:lang w:eastAsia="zh-CN"/>
        </w:rPr>
      </w:pPr>
    </w:p>
    <w:p>
      <w:pPr>
        <w:ind w:firstLine="640"/>
      </w:pPr>
      <w:r>
        <w:rPr>
          <w:rFonts w:hint="eastAsia"/>
          <w:lang w:eastAsia="zh-CN"/>
        </w:rPr>
        <w:t xml:space="preserve">                                                                    </w:t>
      </w:r>
      <w:r>
        <w:t>海南科技职业大学</w:t>
      </w:r>
    </w:p>
    <w:p>
      <w:pPr>
        <w:ind w:firstLine="640"/>
      </w:pPr>
      <w:r>
        <w:rPr>
          <w:rFonts w:hint="eastAsia"/>
          <w:lang w:eastAsia="zh-CN"/>
        </w:rPr>
        <w:t xml:space="preserve">                                                                      2023年11月16日</w:t>
      </w:r>
    </w:p>
    <w:sectPr>
      <w:footerReference r:id="rId12" w:type="default"/>
      <w:pgSz w:w="11906" w:h="16839"/>
      <w:pgMar w:top="1440" w:right="1080" w:bottom="1440" w:left="1080" w:header="0" w:footer="992"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auto"/>
    <w:pitch w:val="default"/>
    <w:sig w:usb0="00000000" w:usb1="00000000" w:usb2="00000000" w:usb3="00000000" w:csb0="00040000" w:csb1="00000000"/>
  </w:font>
  <w:font w:name="汉仪粗黑简">
    <w:panose1 w:val="02010600000101010101"/>
    <w:charset w:val="86"/>
    <w:family w:val="auto"/>
    <w:pitch w:val="default"/>
    <w:sig w:usb0="00000001" w:usb1="080E0800" w:usb2="00000002" w:usb3="00000000" w:csb0="00040000" w:csb1="00000000"/>
  </w:font>
  <w:font w:name="微软雅黑 Light">
    <w:panose1 w:val="020B0502040204020203"/>
    <w:charset w:val="86"/>
    <w:family w:val="auto"/>
    <w:pitch w:val="default"/>
    <w:sig w:usb0="80000287" w:usb1="2ACF0010" w:usb2="00000016" w:usb3="00000000" w:csb0="0004001F" w:csb1="00000000"/>
  </w:font>
  <w:font w:name="Impact">
    <w:panose1 w:val="020B0806030902050204"/>
    <w:charset w:val="00"/>
    <w:family w:val="swiss"/>
    <w:pitch w:val="default"/>
    <w:sig w:usb0="00000287" w:usb1="00000000" w:usb2="00000000" w:usb3="00000000" w:csb0="2000009F" w:csb1="DFD70000"/>
  </w:font>
  <w:font w:name="幼圆">
    <w:panose1 w:val="02010509060101010101"/>
    <w:charset w:val="86"/>
    <w:family w:val="modern"/>
    <w:pitch w:val="default"/>
    <w:sig w:usb0="00000001" w:usb1="080E0000" w:usb2="00000000" w:usb3="00000000" w:csb0="00040000" w:csb1="00000000"/>
  </w:font>
  <w:font w:name="华文隶书">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8" w:lineRule="auto"/>
      <w:ind w:left="4033" w:firstLine="360"/>
      <w:rPr>
        <w:rFonts w:ascii="Calibri" w:hAnsi="Calibri" w:eastAsia="Calibri" w:cs="Calibri"/>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78928019"/>
      <w:docPartObj>
        <w:docPartGallery w:val="AutoText"/>
      </w:docPartObj>
    </w:sdtPr>
    <w:sdtContent>
      <w:p>
        <w:pPr>
          <w:pStyle w:val="11"/>
          <w:ind w:firstLine="360"/>
          <w:jc w:val="center"/>
        </w:pPr>
        <w:r>
          <w:fldChar w:fldCharType="begin"/>
        </w:r>
        <w:r>
          <w:instrText xml:space="preserve">PAGE   \* MERGEFORMAT</w:instrText>
        </w:r>
        <w:r>
          <w:fldChar w:fldCharType="separate"/>
        </w:r>
        <w:r>
          <w:rPr>
            <w:lang w:val="zh-CN" w:eastAsia="zh-CN"/>
          </w:rPr>
          <w:t>2</w:t>
        </w:r>
        <w:r>
          <w:fldChar w:fldCharType="end"/>
        </w:r>
      </w:p>
    </w:sdtContent>
  </w:sdt>
  <w:p>
    <w:pPr>
      <w:spacing w:line="169" w:lineRule="auto"/>
      <w:ind w:left="3985" w:firstLine="360"/>
      <w:rPr>
        <w:rFonts w:ascii="Calibri" w:hAnsi="Calibri" w:eastAsia="Calibri" w:cs="Calibri"/>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firstLine="360"/>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11"/>
                      <w:ind w:firstLine="360"/>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drawing>
        <wp:anchor distT="0" distB="0" distL="114300" distR="114300" simplePos="0" relativeHeight="251667456" behindDoc="1" locked="0" layoutInCell="1" allowOverlap="1">
          <wp:simplePos x="0" y="0"/>
          <wp:positionH relativeFrom="page">
            <wp:align>center</wp:align>
          </wp:positionH>
          <wp:positionV relativeFrom="page">
            <wp:align>top</wp:align>
          </wp:positionV>
          <wp:extent cx="7731760" cy="1357630"/>
          <wp:effectExtent l="0" t="0" r="10160" b="1397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
                  <a:stretch>
                    <a:fillRect/>
                  </a:stretch>
                </pic:blipFill>
                <pic:spPr>
                  <a:xfrm>
                    <a:off x="0" y="0"/>
                    <a:ext cx="7731760" cy="1357630"/>
                  </a:xfrm>
                  <a:prstGeom prst="rect">
                    <a:avLst/>
                  </a:prstGeom>
                  <a:noFill/>
                  <a:ln>
                    <a:noFill/>
                  </a:ln>
                </pic:spPr>
              </pic:pic>
            </a:graphicData>
          </a:graphic>
          <wp14:sizeRelH relativeFrom="page">
            <wp14:pctWidth>100000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EBCB36"/>
    <w:multiLevelType w:val="singleLevel"/>
    <w:tmpl w:val="CEEBCB36"/>
    <w:lvl w:ilvl="0" w:tentative="0">
      <w:start w:val="3"/>
      <w:numFmt w:val="chineseCounting"/>
      <w:suff w:val="nothing"/>
      <w:lvlText w:val="（%1）"/>
      <w:lvlJc w:val="left"/>
      <w:rPr>
        <w:rFonts w:hint="eastAsia"/>
      </w:rPr>
    </w:lvl>
  </w:abstractNum>
  <w:abstractNum w:abstractNumId="1">
    <w:nsid w:val="2E7AA816"/>
    <w:multiLevelType w:val="singleLevel"/>
    <w:tmpl w:val="2E7AA816"/>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ZDhjOTZkMzU3YzQyZjAxZTk3NzhmYmFkMDNhNWZjOWMifQ=="/>
  </w:docVars>
  <w:rsids>
    <w:rsidRoot w:val="00AD13C8"/>
    <w:rsid w:val="00366EA6"/>
    <w:rsid w:val="003D0124"/>
    <w:rsid w:val="005F189E"/>
    <w:rsid w:val="00611A51"/>
    <w:rsid w:val="0073438D"/>
    <w:rsid w:val="00843E3B"/>
    <w:rsid w:val="00926D42"/>
    <w:rsid w:val="009323F9"/>
    <w:rsid w:val="00AA4546"/>
    <w:rsid w:val="00AD13C8"/>
    <w:rsid w:val="00B15F47"/>
    <w:rsid w:val="00CF3752"/>
    <w:rsid w:val="00D30C2A"/>
    <w:rsid w:val="00D9417C"/>
    <w:rsid w:val="00E40665"/>
    <w:rsid w:val="00ED7532"/>
    <w:rsid w:val="00F736B1"/>
    <w:rsid w:val="035905AF"/>
    <w:rsid w:val="04A97A27"/>
    <w:rsid w:val="058D203C"/>
    <w:rsid w:val="06695AAF"/>
    <w:rsid w:val="0B752DD1"/>
    <w:rsid w:val="0C172450"/>
    <w:rsid w:val="0D4C1C87"/>
    <w:rsid w:val="0D892EDB"/>
    <w:rsid w:val="0E5D6FB7"/>
    <w:rsid w:val="0FDD306A"/>
    <w:rsid w:val="10843BD1"/>
    <w:rsid w:val="10CA7116"/>
    <w:rsid w:val="13961EAE"/>
    <w:rsid w:val="144237A3"/>
    <w:rsid w:val="152143B8"/>
    <w:rsid w:val="18561DF0"/>
    <w:rsid w:val="19466124"/>
    <w:rsid w:val="19C5529B"/>
    <w:rsid w:val="19E420C7"/>
    <w:rsid w:val="1A8F48F2"/>
    <w:rsid w:val="1B281F85"/>
    <w:rsid w:val="1BEA0FE8"/>
    <w:rsid w:val="1CE51261"/>
    <w:rsid w:val="1D2F75FB"/>
    <w:rsid w:val="257B0F03"/>
    <w:rsid w:val="295D729E"/>
    <w:rsid w:val="2B2C1D1F"/>
    <w:rsid w:val="2BE96304"/>
    <w:rsid w:val="2F912229"/>
    <w:rsid w:val="36B45E16"/>
    <w:rsid w:val="385A7D68"/>
    <w:rsid w:val="3B6D478E"/>
    <w:rsid w:val="3CA37C6E"/>
    <w:rsid w:val="3D01304C"/>
    <w:rsid w:val="3F8A4F2D"/>
    <w:rsid w:val="436332AB"/>
    <w:rsid w:val="46E7360C"/>
    <w:rsid w:val="481D3E1B"/>
    <w:rsid w:val="4A084BAC"/>
    <w:rsid w:val="4C1C66ED"/>
    <w:rsid w:val="4E090880"/>
    <w:rsid w:val="4E39266F"/>
    <w:rsid w:val="523C0F78"/>
    <w:rsid w:val="58BA4EEB"/>
    <w:rsid w:val="5A594F47"/>
    <w:rsid w:val="5A9304C2"/>
    <w:rsid w:val="5EFA4819"/>
    <w:rsid w:val="5FEF1CF6"/>
    <w:rsid w:val="605B3767"/>
    <w:rsid w:val="60F56685"/>
    <w:rsid w:val="62DD22DA"/>
    <w:rsid w:val="684A3316"/>
    <w:rsid w:val="6A2048FC"/>
    <w:rsid w:val="6C64581A"/>
    <w:rsid w:val="6D7A1DC3"/>
    <w:rsid w:val="6DCC7B1A"/>
    <w:rsid w:val="6E0F1884"/>
    <w:rsid w:val="6FA11970"/>
    <w:rsid w:val="70610ABE"/>
    <w:rsid w:val="734463A5"/>
    <w:rsid w:val="755C3532"/>
    <w:rsid w:val="75B53236"/>
    <w:rsid w:val="760338C7"/>
    <w:rsid w:val="773B6B26"/>
    <w:rsid w:val="79362AA8"/>
    <w:rsid w:val="7DDB16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560" w:lineRule="exact"/>
      <w:ind w:firstLine="420" w:firstLineChars="200"/>
      <w:textAlignment w:val="baseline"/>
    </w:pPr>
    <w:rPr>
      <w:rFonts w:ascii="Times New Roman" w:hAnsi="Times New Roman" w:eastAsia="仿宋" w:cs="Times New Roman"/>
      <w:snapToGrid w:val="0"/>
      <w:color w:val="000000"/>
      <w:sz w:val="32"/>
      <w:szCs w:val="21"/>
      <w:lang w:val="en-US" w:eastAsia="en-US" w:bidi="ar-SA"/>
    </w:rPr>
  </w:style>
  <w:style w:type="paragraph" w:styleId="2">
    <w:name w:val="heading 1"/>
    <w:basedOn w:val="1"/>
    <w:next w:val="1"/>
    <w:qFormat/>
    <w:uiPriority w:val="0"/>
    <w:pPr>
      <w:keepNext/>
      <w:keepLines/>
      <w:spacing w:before="340" w:after="330"/>
      <w:outlineLvl w:val="0"/>
    </w:pPr>
    <w:rPr>
      <w:rFonts w:eastAsia="黑体"/>
      <w:kern w:val="44"/>
    </w:rPr>
  </w:style>
  <w:style w:type="paragraph" w:styleId="3">
    <w:name w:val="heading 2"/>
    <w:basedOn w:val="1"/>
    <w:next w:val="1"/>
    <w:semiHidden/>
    <w:unhideWhenUsed/>
    <w:qFormat/>
    <w:uiPriority w:val="0"/>
    <w:pPr>
      <w:keepNext/>
      <w:keepLines/>
      <w:spacing w:before="260" w:after="260"/>
      <w:outlineLvl w:val="1"/>
    </w:pPr>
    <w:rPr>
      <w:rFonts w:eastAsia="楷体"/>
      <w:b/>
    </w:rPr>
  </w:style>
  <w:style w:type="paragraph" w:styleId="4">
    <w:name w:val="heading 3"/>
    <w:basedOn w:val="1"/>
    <w:next w:val="1"/>
    <w:semiHidden/>
    <w:unhideWhenUsed/>
    <w:qFormat/>
    <w:uiPriority w:val="0"/>
    <w:pPr>
      <w:keepNext/>
      <w:keepLines/>
      <w:spacing w:before="260" w:after="260"/>
      <w:outlineLvl w:val="2"/>
    </w:pPr>
  </w:style>
  <w:style w:type="character" w:default="1" w:styleId="21">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5">
    <w:name w:val="toc 7"/>
    <w:basedOn w:val="1"/>
    <w:next w:val="1"/>
    <w:autoRedefine/>
    <w:uiPriority w:val="0"/>
    <w:pPr>
      <w:widowControl w:val="0"/>
      <w:kinsoku/>
      <w:autoSpaceDE/>
      <w:autoSpaceDN/>
      <w:adjustRightInd/>
      <w:snapToGrid/>
      <w:spacing w:line="240" w:lineRule="auto"/>
      <w:ind w:left="2520" w:leftChars="1200" w:firstLine="0" w:firstLineChars="0"/>
      <w:jc w:val="both"/>
      <w:textAlignment w:val="auto"/>
    </w:pPr>
    <w:rPr>
      <w:rFonts w:asciiTheme="minorHAnsi" w:hAnsiTheme="minorHAnsi" w:eastAsiaTheme="minorEastAsia" w:cstheme="minorBidi"/>
      <w:snapToGrid/>
      <w:color w:val="auto"/>
      <w:kern w:val="2"/>
      <w:sz w:val="21"/>
      <w:szCs w:val="22"/>
      <w:lang w:eastAsia="zh-CN"/>
      <w14:ligatures w14:val="standardContextual"/>
    </w:rPr>
  </w:style>
  <w:style w:type="paragraph" w:styleId="6">
    <w:name w:val="caption"/>
    <w:basedOn w:val="1"/>
    <w:next w:val="1"/>
    <w:semiHidden/>
    <w:unhideWhenUsed/>
    <w:qFormat/>
    <w:uiPriority w:val="0"/>
    <w:pPr>
      <w:ind w:firstLine="200"/>
      <w:jc w:val="both"/>
    </w:pPr>
    <w:rPr>
      <w:rFonts w:eastAsia="黑体"/>
      <w:sz w:val="21"/>
      <w:szCs w:val="20"/>
    </w:rPr>
  </w:style>
  <w:style w:type="paragraph" w:styleId="7">
    <w:name w:val="Body Text"/>
    <w:basedOn w:val="1"/>
    <w:uiPriority w:val="0"/>
    <w:rPr>
      <w:rFonts w:ascii="Arial" w:hAnsi="Arial" w:eastAsia="Arial" w:cs="Arial"/>
      <w:sz w:val="21"/>
    </w:rPr>
  </w:style>
  <w:style w:type="paragraph" w:styleId="8">
    <w:name w:val="toc 5"/>
    <w:basedOn w:val="1"/>
    <w:next w:val="1"/>
    <w:autoRedefine/>
    <w:uiPriority w:val="0"/>
    <w:pPr>
      <w:widowControl w:val="0"/>
      <w:kinsoku/>
      <w:autoSpaceDE/>
      <w:autoSpaceDN/>
      <w:adjustRightInd/>
      <w:snapToGrid/>
      <w:spacing w:line="240" w:lineRule="auto"/>
      <w:ind w:left="1680" w:leftChars="800" w:firstLine="0" w:firstLineChars="0"/>
      <w:jc w:val="both"/>
      <w:textAlignment w:val="auto"/>
    </w:pPr>
    <w:rPr>
      <w:rFonts w:asciiTheme="minorHAnsi" w:hAnsiTheme="minorHAnsi" w:eastAsiaTheme="minorEastAsia" w:cstheme="minorBidi"/>
      <w:snapToGrid/>
      <w:color w:val="auto"/>
      <w:kern w:val="2"/>
      <w:sz w:val="21"/>
      <w:szCs w:val="22"/>
      <w:lang w:eastAsia="zh-CN"/>
      <w14:ligatures w14:val="standardContextual"/>
    </w:rPr>
  </w:style>
  <w:style w:type="paragraph" w:styleId="9">
    <w:name w:val="toc 3"/>
    <w:basedOn w:val="1"/>
    <w:next w:val="1"/>
    <w:uiPriority w:val="0"/>
    <w:pPr>
      <w:ind w:left="840" w:leftChars="400"/>
    </w:pPr>
  </w:style>
  <w:style w:type="paragraph" w:styleId="10">
    <w:name w:val="toc 8"/>
    <w:basedOn w:val="1"/>
    <w:next w:val="1"/>
    <w:autoRedefine/>
    <w:uiPriority w:val="0"/>
    <w:pPr>
      <w:widowControl w:val="0"/>
      <w:kinsoku/>
      <w:autoSpaceDE/>
      <w:autoSpaceDN/>
      <w:adjustRightInd/>
      <w:snapToGrid/>
      <w:spacing w:line="240" w:lineRule="auto"/>
      <w:ind w:left="2940" w:leftChars="1400" w:firstLine="0" w:firstLineChars="0"/>
      <w:jc w:val="both"/>
      <w:textAlignment w:val="auto"/>
    </w:pPr>
    <w:rPr>
      <w:rFonts w:asciiTheme="minorHAnsi" w:hAnsiTheme="minorHAnsi" w:eastAsiaTheme="minorEastAsia" w:cstheme="minorBidi"/>
      <w:snapToGrid/>
      <w:color w:val="auto"/>
      <w:kern w:val="2"/>
      <w:sz w:val="21"/>
      <w:szCs w:val="22"/>
      <w:lang w:eastAsia="zh-CN"/>
      <w14:ligatures w14:val="standardContextual"/>
    </w:rPr>
  </w:style>
  <w:style w:type="paragraph" w:styleId="11">
    <w:name w:val="footer"/>
    <w:basedOn w:val="1"/>
    <w:link w:val="52"/>
    <w:uiPriority w:val="0"/>
    <w:pPr>
      <w:tabs>
        <w:tab w:val="center" w:pos="4153"/>
        <w:tab w:val="right" w:pos="8306"/>
      </w:tabs>
    </w:pPr>
    <w:rPr>
      <w:sz w:val="18"/>
    </w:rPr>
  </w:style>
  <w:style w:type="paragraph" w:styleId="12">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jc w:val="both"/>
    </w:pPr>
    <w:rPr>
      <w:sz w:val="18"/>
    </w:rPr>
  </w:style>
  <w:style w:type="paragraph" w:styleId="13">
    <w:name w:val="toc 1"/>
    <w:basedOn w:val="1"/>
    <w:next w:val="1"/>
    <w:uiPriority w:val="0"/>
  </w:style>
  <w:style w:type="paragraph" w:styleId="14">
    <w:name w:val="toc 4"/>
    <w:basedOn w:val="1"/>
    <w:next w:val="1"/>
    <w:autoRedefine/>
    <w:uiPriority w:val="0"/>
    <w:pPr>
      <w:widowControl w:val="0"/>
      <w:kinsoku/>
      <w:autoSpaceDE/>
      <w:autoSpaceDN/>
      <w:adjustRightInd/>
      <w:snapToGrid/>
      <w:spacing w:line="240" w:lineRule="auto"/>
      <w:ind w:left="1260" w:leftChars="600" w:firstLine="0" w:firstLineChars="0"/>
      <w:jc w:val="both"/>
      <w:textAlignment w:val="auto"/>
    </w:pPr>
    <w:rPr>
      <w:rFonts w:asciiTheme="minorHAnsi" w:hAnsiTheme="minorHAnsi" w:eastAsiaTheme="minorEastAsia" w:cstheme="minorBidi"/>
      <w:snapToGrid/>
      <w:color w:val="auto"/>
      <w:kern w:val="2"/>
      <w:sz w:val="21"/>
      <w:szCs w:val="22"/>
      <w:lang w:eastAsia="zh-CN"/>
      <w14:ligatures w14:val="standardContextual"/>
    </w:rPr>
  </w:style>
  <w:style w:type="paragraph" w:styleId="15">
    <w:name w:val="footnote text"/>
    <w:basedOn w:val="1"/>
    <w:uiPriority w:val="0"/>
  </w:style>
  <w:style w:type="paragraph" w:styleId="16">
    <w:name w:val="toc 6"/>
    <w:basedOn w:val="1"/>
    <w:next w:val="1"/>
    <w:autoRedefine/>
    <w:uiPriority w:val="0"/>
    <w:pPr>
      <w:widowControl w:val="0"/>
      <w:kinsoku/>
      <w:autoSpaceDE/>
      <w:autoSpaceDN/>
      <w:adjustRightInd/>
      <w:snapToGrid/>
      <w:spacing w:line="240" w:lineRule="auto"/>
      <w:ind w:left="2100" w:leftChars="1000" w:firstLine="0" w:firstLineChars="0"/>
      <w:jc w:val="both"/>
      <w:textAlignment w:val="auto"/>
    </w:pPr>
    <w:rPr>
      <w:rFonts w:asciiTheme="minorHAnsi" w:hAnsiTheme="minorHAnsi" w:eastAsiaTheme="minorEastAsia" w:cstheme="minorBidi"/>
      <w:snapToGrid/>
      <w:color w:val="auto"/>
      <w:kern w:val="2"/>
      <w:sz w:val="21"/>
      <w:szCs w:val="22"/>
      <w:lang w:eastAsia="zh-CN"/>
      <w14:ligatures w14:val="standardContextual"/>
    </w:rPr>
  </w:style>
  <w:style w:type="paragraph" w:styleId="17">
    <w:name w:val="toc 2"/>
    <w:basedOn w:val="1"/>
    <w:next w:val="1"/>
    <w:uiPriority w:val="0"/>
    <w:pPr>
      <w:ind w:left="420" w:leftChars="200"/>
    </w:pPr>
  </w:style>
  <w:style w:type="paragraph" w:styleId="18">
    <w:name w:val="toc 9"/>
    <w:basedOn w:val="1"/>
    <w:next w:val="1"/>
    <w:autoRedefine/>
    <w:uiPriority w:val="0"/>
    <w:pPr>
      <w:widowControl w:val="0"/>
      <w:kinsoku/>
      <w:autoSpaceDE/>
      <w:autoSpaceDN/>
      <w:adjustRightInd/>
      <w:snapToGrid/>
      <w:spacing w:line="240" w:lineRule="auto"/>
      <w:ind w:left="3360" w:leftChars="1600" w:firstLine="0" w:firstLineChars="0"/>
      <w:jc w:val="both"/>
      <w:textAlignment w:val="auto"/>
    </w:pPr>
    <w:rPr>
      <w:rFonts w:asciiTheme="minorHAnsi" w:hAnsiTheme="minorHAnsi" w:eastAsiaTheme="minorEastAsia" w:cstheme="minorBidi"/>
      <w:snapToGrid/>
      <w:color w:val="auto"/>
      <w:kern w:val="2"/>
      <w:sz w:val="21"/>
      <w:szCs w:val="22"/>
      <w:lang w:eastAsia="zh-CN"/>
      <w14:ligatures w14:val="standardContextual"/>
    </w:rPr>
  </w:style>
  <w:style w:type="paragraph" w:styleId="19">
    <w:name w:val="Normal (Web)"/>
    <w:basedOn w:val="1"/>
    <w:qFormat/>
    <w:uiPriority w:val="0"/>
    <w:pPr>
      <w:spacing w:beforeAutospacing="1" w:afterAutospacing="1"/>
    </w:pPr>
    <w:rPr>
      <w:sz w:val="24"/>
      <w:lang w:eastAsia="zh-CN"/>
    </w:rPr>
  </w:style>
  <w:style w:type="character" w:styleId="22">
    <w:name w:val="Strong"/>
    <w:basedOn w:val="21"/>
    <w:qFormat/>
    <w:uiPriority w:val="0"/>
    <w:rPr>
      <w:b/>
      <w:bCs/>
    </w:rPr>
  </w:style>
  <w:style w:type="character" w:styleId="23">
    <w:name w:val="Hyperlink"/>
    <w:basedOn w:val="21"/>
    <w:uiPriority w:val="0"/>
    <w:rPr>
      <w:color w:val="0000FF" w:themeColor="hyperlink"/>
      <w:u w:val="single"/>
      <w14:textFill>
        <w14:solidFill>
          <w14:schemeClr w14:val="hlink"/>
        </w14:solidFill>
      </w14:textFill>
    </w:rPr>
  </w:style>
  <w:style w:type="character" w:styleId="24">
    <w:name w:val="footnote reference"/>
    <w:basedOn w:val="21"/>
    <w:uiPriority w:val="0"/>
    <w:rPr>
      <w:vertAlign w:val="superscript"/>
    </w:rPr>
  </w:style>
  <w:style w:type="paragraph" w:customStyle="1" w:styleId="25">
    <w:name w:val="首行缩进"/>
    <w:qFormat/>
    <w:uiPriority w:val="0"/>
    <w:pPr>
      <w:widowControl w:val="0"/>
      <w:spacing w:line="360" w:lineRule="auto"/>
      <w:ind w:firstLine="480" w:firstLineChars="200"/>
      <w:jc w:val="both"/>
    </w:pPr>
    <w:rPr>
      <w:rFonts w:ascii="Calibri" w:hAnsi="Calibri" w:eastAsia="宋体" w:cs="Times New Roman"/>
      <w:kern w:val="2"/>
      <w:sz w:val="24"/>
      <w:szCs w:val="22"/>
      <w:lang w:val="zh-CN" w:eastAsia="zh-CN" w:bidi="ar-SA"/>
    </w:rPr>
  </w:style>
  <w:style w:type="table" w:customStyle="1" w:styleId="26">
    <w:name w:val="Table Normal"/>
    <w:semiHidden/>
    <w:unhideWhenUsed/>
    <w:qFormat/>
    <w:uiPriority w:val="0"/>
    <w:tblPr>
      <w:tblCellMar>
        <w:top w:w="0" w:type="dxa"/>
        <w:left w:w="0" w:type="dxa"/>
        <w:bottom w:w="0" w:type="dxa"/>
        <w:right w:w="0" w:type="dxa"/>
      </w:tblCellMar>
    </w:tblPr>
  </w:style>
  <w:style w:type="paragraph" w:customStyle="1" w:styleId="27">
    <w:name w:val="Table Text"/>
    <w:basedOn w:val="1"/>
    <w:semiHidden/>
    <w:qFormat/>
    <w:uiPriority w:val="0"/>
    <w:rPr>
      <w:rFonts w:ascii="宋体" w:hAnsi="宋体" w:eastAsia="宋体" w:cs="宋体"/>
      <w:sz w:val="22"/>
      <w:szCs w:val="22"/>
    </w:rPr>
  </w:style>
  <w:style w:type="paragraph" w:customStyle="1" w:styleId="28">
    <w:name w:val="报告正文样式"/>
    <w:basedOn w:val="1"/>
    <w:qFormat/>
    <w:uiPriority w:val="99"/>
    <w:pPr>
      <w:spacing w:after="163" w:line="360" w:lineRule="auto"/>
      <w:ind w:firstLine="480"/>
    </w:pPr>
    <w:rPr>
      <w:rFonts w:ascii="Calibri" w:hAnsi="Calibri" w:eastAsia="Calibri" w:cs="宋体"/>
      <w:color w:val="000000" w:themeColor="text1"/>
      <w14:textFill>
        <w14:solidFill>
          <w14:schemeClr w14:val="tx1"/>
        </w14:solidFill>
      </w14:textFill>
    </w:rPr>
  </w:style>
  <w:style w:type="paragraph" w:customStyle="1" w:styleId="29">
    <w:name w:val="图表标题"/>
    <w:basedOn w:val="1"/>
    <w:qFormat/>
    <w:uiPriority w:val="99"/>
    <w:pPr>
      <w:spacing w:after="50"/>
      <w:jc w:val="center"/>
    </w:pPr>
    <w:rPr>
      <w:rFonts w:eastAsia="黑体"/>
      <w:b/>
      <w:sz w:val="21"/>
    </w:rPr>
  </w:style>
  <w:style w:type="table" w:customStyle="1" w:styleId="30">
    <w:name w:val="网格表 4 - 着色 112"/>
    <w:basedOn w:val="20"/>
    <w:qFormat/>
    <w:uiPriority w:val="49"/>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14:textFill>
          <w14:solidFill>
            <w14:schemeClr w14:val="bg1"/>
          </w14:solidFill>
        </w14:textFill>
      </w:rPr>
      <w:tcPr>
        <w:shd w:val="clear" w:color="auto" w:fill="5E98D8"/>
      </w:tcPr>
    </w:tblStylePr>
    <w:tblStylePr w:type="lastRow">
      <w:rPr>
        <w:b/>
        <w:bCs/>
      </w:rPr>
      <w:tcPr>
        <w:tcBorders>
          <w:top w:val="sing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paragraph" w:customStyle="1" w:styleId="31">
    <w:name w:val="注"/>
    <w:next w:val="1"/>
    <w:qFormat/>
    <w:uiPriority w:val="99"/>
    <w:pPr>
      <w:pBdr>
        <w:top w:val="none" w:color="000000" w:sz="0" w:space="0"/>
        <w:left w:val="none" w:color="000000" w:sz="0" w:space="0"/>
        <w:bottom w:val="none" w:color="000000" w:sz="0" w:space="0"/>
        <w:right w:val="none" w:color="000000" w:sz="0" w:space="0"/>
        <w:between w:val="none" w:color="000000" w:sz="0" w:space="0"/>
      </w:pBdr>
      <w:spacing w:after="50"/>
      <w:ind w:firstLine="200"/>
      <w:jc w:val="both"/>
    </w:pPr>
    <w:rPr>
      <w:rFonts w:ascii="Times New Roman" w:hAnsi="Times New Roman" w:eastAsia="黑体" w:cs="Calibri"/>
      <w:caps/>
      <w:sz w:val="21"/>
      <w:lang w:val="en-US" w:eastAsia="zh-CN" w:bidi="ar-SA"/>
    </w:rPr>
  </w:style>
  <w:style w:type="paragraph" w:customStyle="1" w:styleId="32">
    <w:name w:val="A图表标题"/>
    <w:basedOn w:val="33"/>
    <w:qFormat/>
    <w:uiPriority w:val="99"/>
    <w:pPr>
      <w:spacing w:before="50" w:after="50"/>
    </w:pPr>
    <w:rPr>
      <w:color w:val="4F81BD" w:themeColor="accent1"/>
      <w14:textFill>
        <w14:solidFill>
          <w14:schemeClr w14:val="accent1"/>
        </w14:solidFill>
      </w14:textFill>
    </w:rPr>
  </w:style>
  <w:style w:type="paragraph" w:customStyle="1" w:styleId="33">
    <w:name w:val="图表标题样例"/>
    <w:qFormat/>
    <w:uiPriority w:val="99"/>
    <w:pPr>
      <w:pBdr>
        <w:top w:val="none" w:color="000000" w:sz="0" w:space="0"/>
        <w:left w:val="none" w:color="000000" w:sz="0" w:space="0"/>
        <w:bottom w:val="none" w:color="000000" w:sz="0" w:space="0"/>
        <w:right w:val="none" w:color="000000" w:sz="0" w:space="0"/>
        <w:between w:val="none" w:color="000000" w:sz="0" w:space="0"/>
      </w:pBdr>
      <w:spacing w:line="360" w:lineRule="auto"/>
      <w:jc w:val="center"/>
    </w:pPr>
    <w:rPr>
      <w:rFonts w:ascii="Times New Roman" w:hAnsi="Times New Roman" w:eastAsia="黑体" w:cs="Times New Roman"/>
      <w:b/>
      <w:caps/>
      <w:sz w:val="21"/>
      <w:szCs w:val="36"/>
      <w:lang w:val="zh-CN" w:eastAsia="zh-CN" w:bidi="ar-SA"/>
    </w:rPr>
  </w:style>
  <w:style w:type="paragraph" w:customStyle="1" w:styleId="34">
    <w:name w:val="L 注"/>
    <w:basedOn w:val="1"/>
    <w:qFormat/>
    <w:uiPriority w:val="99"/>
    <w:rPr>
      <w:rFonts w:eastAsia="Calibri" w:cs="Calibri"/>
      <w:caps/>
      <w:sz w:val="18"/>
      <w:szCs w:val="20"/>
    </w:rPr>
  </w:style>
  <w:style w:type="table" w:customStyle="1" w:styleId="35">
    <w:name w:val="2017-20174"/>
    <w:basedOn w:val="20"/>
    <w:qFormat/>
    <w:uiPriority w:val="49"/>
    <w:pPr>
      <w:spacing w:before="100"/>
      <w:jc w:val="center"/>
    </w:pPr>
    <w:tblP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Pr>
    <w:tcPr>
      <w:vAlign w:val="center"/>
    </w:tcPr>
    <w:tblStylePr w:type="firstRow">
      <w:rPr>
        <w:b/>
        <w:bCs/>
        <w:color w:val="FFFFFF"/>
      </w:rPr>
      <w:tblPr/>
      <w:trPr>
        <w:tblHeader/>
      </w:trPr>
      <w:tcPr>
        <w:tcBorders>
          <w:top w:val="single" w:color="0F6FC6" w:sz="4" w:space="0"/>
          <w:left w:val="single" w:color="0F6FC6" w:sz="4" w:space="0"/>
          <w:bottom w:val="single" w:color="0F6FC6" w:sz="4" w:space="0"/>
          <w:right w:val="single" w:color="0F6FC6" w:sz="4" w:space="0"/>
          <w:insideH w:val="nil"/>
          <w:insideV w:val="nil"/>
        </w:tcBorders>
        <w:shd w:val="clear" w:color="auto" w:fill="0F6FC6"/>
      </w:tcPr>
    </w:tblStylePr>
    <w:tblStylePr w:type="lastRow">
      <w:rPr>
        <w:b/>
        <w:bCs/>
      </w:rPr>
      <w:tcPr>
        <w:tcBorders>
          <w:top w:val="single" w:color="0F6FC6" w:sz="4" w:space="0"/>
        </w:tcBorders>
      </w:tcPr>
    </w:tblStylePr>
    <w:tblStylePr w:type="firstCol">
      <w:rPr>
        <w:b w:val="0"/>
        <w:bCs/>
      </w:rPr>
    </w:tblStylePr>
    <w:tblStylePr w:type="lastCol">
      <w:rPr>
        <w:b/>
        <w:bCs/>
      </w:rPr>
    </w:tblStylePr>
    <w:tblStylePr w:type="band1Vert">
      <w:tcPr>
        <w:shd w:val="clear" w:color="auto" w:fill="C7E2FA"/>
      </w:tcPr>
    </w:tblStylePr>
    <w:tblStylePr w:type="band1Horz">
      <w:tcPr>
        <w:shd w:val="clear" w:color="auto" w:fill="C7E2FA"/>
      </w:tcPr>
    </w:tblStylePr>
  </w:style>
  <w:style w:type="table" w:customStyle="1" w:styleId="36">
    <w:name w:val="2017-20172"/>
    <w:basedOn w:val="20"/>
    <w:qFormat/>
    <w:uiPriority w:val="49"/>
    <w:pPr>
      <w:spacing w:before="100"/>
      <w:jc w:val="center"/>
    </w:pPr>
    <w:tblP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Pr>
    <w:tcPr>
      <w:vAlign w:val="center"/>
    </w:tcPr>
    <w:tblStylePr w:type="firstRow">
      <w:rPr>
        <w:b/>
        <w:bCs/>
        <w:color w:val="FFFFFF"/>
      </w:rPr>
      <w:tblPr/>
      <w:trPr>
        <w:tblHeader/>
      </w:trPr>
      <w:tcPr>
        <w:tcBorders>
          <w:top w:val="single" w:color="0F6FC6" w:sz="4" w:space="0"/>
          <w:left w:val="single" w:color="0F6FC6" w:sz="4" w:space="0"/>
          <w:bottom w:val="single" w:color="0F6FC6" w:sz="4" w:space="0"/>
          <w:right w:val="single" w:color="0F6FC6" w:sz="4" w:space="0"/>
          <w:insideH w:val="nil"/>
          <w:insideV w:val="nil"/>
        </w:tcBorders>
        <w:shd w:val="clear" w:color="auto" w:fill="0F6FC6"/>
      </w:tcPr>
    </w:tblStylePr>
    <w:tblStylePr w:type="lastRow">
      <w:rPr>
        <w:b/>
        <w:bCs/>
      </w:rPr>
      <w:tcPr>
        <w:tcBorders>
          <w:top w:val="single" w:color="0F6FC6" w:sz="4" w:space="0"/>
        </w:tcBorders>
      </w:tcPr>
    </w:tblStylePr>
    <w:tblStylePr w:type="firstCol">
      <w:rPr>
        <w:b w:val="0"/>
        <w:bCs/>
      </w:rPr>
    </w:tblStylePr>
    <w:tblStylePr w:type="lastCol">
      <w:rPr>
        <w:b/>
        <w:bCs/>
      </w:rPr>
    </w:tblStylePr>
    <w:tblStylePr w:type="band1Vert">
      <w:tcPr>
        <w:shd w:val="clear" w:color="auto" w:fill="C7E2FA"/>
      </w:tcPr>
    </w:tblStylePr>
    <w:tblStylePr w:type="band1Horz">
      <w:tcPr>
        <w:shd w:val="clear" w:color="auto" w:fill="C7E2FA"/>
      </w:tcPr>
    </w:tblStylePr>
  </w:style>
  <w:style w:type="table" w:customStyle="1" w:styleId="37">
    <w:name w:val="网格表 4 - 着色 11"/>
    <w:basedOn w:val="20"/>
    <w:qFormat/>
    <w:uiPriority w:val="49"/>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sing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paragraph" w:customStyle="1" w:styleId="38">
    <w:name w:val="表标题"/>
    <w:basedOn w:val="1"/>
    <w:qFormat/>
    <w:uiPriority w:val="99"/>
    <w:pPr>
      <w:widowControl w:val="0"/>
      <w:spacing w:line="360" w:lineRule="auto"/>
      <w:ind w:firstLine="422"/>
      <w:jc w:val="center"/>
    </w:pPr>
    <w:rPr>
      <w:rFonts w:eastAsia="黑体"/>
      <w:b/>
      <w:sz w:val="21"/>
    </w:rPr>
  </w:style>
  <w:style w:type="paragraph" w:customStyle="1" w:styleId="39">
    <w:name w:val="#L 正文"/>
    <w:basedOn w:val="40"/>
    <w:qFormat/>
    <w:uiPriority w:val="99"/>
    <w:pPr>
      <w:ind w:firstLine="200"/>
    </w:pPr>
  </w:style>
  <w:style w:type="paragraph" w:customStyle="1" w:styleId="40">
    <w:name w:val="#正文"/>
    <w:basedOn w:val="1"/>
    <w:qFormat/>
    <w:uiPriority w:val="99"/>
    <w:pPr>
      <w:spacing w:before="50" w:line="360" w:lineRule="auto"/>
      <w:ind w:firstLine="482"/>
      <w:jc w:val="both"/>
    </w:pPr>
    <w:rPr>
      <w:rFonts w:ascii="Calibri" w:hAnsi="Calibri" w:eastAsia="Calibri" w:cs="宋体"/>
      <w:color w:val="000000" w:themeColor="text1"/>
      <w14:textFill>
        <w14:solidFill>
          <w14:schemeClr w14:val="tx1"/>
        </w14:solidFill>
      </w14:textFill>
    </w:rPr>
  </w:style>
  <w:style w:type="character" w:customStyle="1" w:styleId="41">
    <w:name w:val="报告正文样式 Char"/>
    <w:basedOn w:val="21"/>
    <w:qFormat/>
    <w:uiPriority w:val="0"/>
    <w:rPr>
      <w:rFonts w:ascii="Calibri" w:hAnsi="Calibri" w:cs="宋体"/>
      <w:color w:val="000000" w:themeColor="text1"/>
      <w:sz w:val="24"/>
      <w:szCs w:val="21"/>
      <w14:textFill>
        <w14:solidFill>
          <w14:schemeClr w14:val="tx1"/>
        </w14:solidFill>
      </w14:textFill>
    </w:rPr>
  </w:style>
  <w:style w:type="character" w:customStyle="1" w:styleId="42">
    <w:name w:val="#L 正文 Char"/>
    <w:basedOn w:val="43"/>
    <w:qFormat/>
    <w:uiPriority w:val="0"/>
    <w:rPr>
      <w:rFonts w:ascii="Times New Roman" w:hAnsi="Times New Roman" w:cs="宋体"/>
      <w:color w:val="000000" w:themeColor="text1"/>
      <w:sz w:val="24"/>
      <w:szCs w:val="21"/>
      <w14:textFill>
        <w14:solidFill>
          <w14:schemeClr w14:val="tx1"/>
        </w14:solidFill>
      </w14:textFill>
    </w:rPr>
  </w:style>
  <w:style w:type="character" w:customStyle="1" w:styleId="43">
    <w:name w:val="#正文 Char"/>
    <w:basedOn w:val="21"/>
    <w:qFormat/>
    <w:uiPriority w:val="0"/>
    <w:rPr>
      <w:rFonts w:ascii="Times New Roman" w:hAnsi="Times New Roman" w:cs="宋体"/>
      <w:color w:val="000000" w:themeColor="text1"/>
      <w:sz w:val="24"/>
      <w:szCs w:val="21"/>
      <w14:textFill>
        <w14:solidFill>
          <w14:schemeClr w14:val="tx1"/>
        </w14:solidFill>
      </w14:textFill>
    </w:rPr>
  </w:style>
  <w:style w:type="paragraph" w:customStyle="1" w:styleId="44">
    <w:name w:val="L正文"/>
    <w:basedOn w:val="28"/>
    <w:qFormat/>
    <w:uiPriority w:val="99"/>
    <w:pPr>
      <w:spacing w:before="50" w:after="50"/>
      <w:ind w:firstLine="200"/>
      <w:jc w:val="both"/>
    </w:pPr>
    <w:rPr>
      <w:rFonts w:ascii="Times New Roman" w:hAnsi="Times New Roman" w:eastAsia="宋体" w:cs="Times New Roman"/>
      <w:color w:val="000000"/>
      <w:szCs w:val="24"/>
      <w:lang w:val="zh-CN"/>
    </w:rPr>
  </w:style>
  <w:style w:type="paragraph" w:customStyle="1" w:styleId="45">
    <w:name w:val="L 正文"/>
    <w:basedOn w:val="28"/>
    <w:qFormat/>
    <w:uiPriority w:val="99"/>
    <w:pPr>
      <w:spacing w:after="0"/>
      <w:ind w:firstLine="200"/>
      <w:jc w:val="both"/>
    </w:pPr>
    <w:rPr>
      <w:rFonts w:ascii="Times New Roman" w:hAnsi="Times New Roman"/>
    </w:rPr>
  </w:style>
  <w:style w:type="paragraph" w:customStyle="1" w:styleId="46">
    <w:name w:val="A正文"/>
    <w:basedOn w:val="1"/>
    <w:qFormat/>
    <w:uiPriority w:val="99"/>
    <w:pPr>
      <w:spacing w:line="360" w:lineRule="auto"/>
      <w:ind w:firstLine="200"/>
      <w:jc w:val="both"/>
    </w:pPr>
    <w:rPr>
      <w:rFonts w:cs="Calibri"/>
    </w:rPr>
  </w:style>
  <w:style w:type="paragraph" w:customStyle="1" w:styleId="47">
    <w:name w:val="报告正文样例"/>
    <w:qFormat/>
    <w:uiPriority w:val="99"/>
    <w:pPr>
      <w:pBdr>
        <w:top w:val="none" w:color="000000" w:sz="0" w:space="0"/>
        <w:left w:val="none" w:color="000000" w:sz="0" w:space="0"/>
        <w:bottom w:val="none" w:color="000000" w:sz="0" w:space="0"/>
        <w:right w:val="none" w:color="000000" w:sz="0" w:space="0"/>
        <w:between w:val="none" w:color="000000" w:sz="0" w:space="0"/>
      </w:pBdr>
      <w:spacing w:before="50" w:line="360" w:lineRule="auto"/>
      <w:ind w:firstLine="200"/>
      <w:jc w:val="both"/>
    </w:pPr>
    <w:rPr>
      <w:rFonts w:ascii="Times New Roman" w:hAnsi="Times New Roman" w:eastAsia="宋体" w:cs="Times New Roman"/>
      <w:bCs/>
      <w:color w:val="000000"/>
      <w:sz w:val="24"/>
      <w:szCs w:val="30"/>
      <w:lang w:val="zh-CN" w:eastAsia="zh-CN" w:bidi="ar-SA"/>
    </w:rPr>
  </w:style>
  <w:style w:type="paragraph" w:customStyle="1" w:styleId="48">
    <w:name w:val="WPSOffice手动目录 1"/>
    <w:qFormat/>
    <w:uiPriority w:val="0"/>
    <w:rPr>
      <w:rFonts w:ascii="Times New Roman" w:hAnsi="Times New Roman" w:eastAsia="宋体" w:cs="Times New Roman"/>
      <w:lang w:val="en-US" w:eastAsia="zh-CN" w:bidi="ar-SA"/>
    </w:rPr>
  </w:style>
  <w:style w:type="paragraph" w:customStyle="1" w:styleId="4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50">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51">
    <w:name w:val="Unresolved Mention"/>
    <w:basedOn w:val="21"/>
    <w:semiHidden/>
    <w:unhideWhenUsed/>
    <w:uiPriority w:val="99"/>
    <w:rPr>
      <w:color w:val="605E5C"/>
      <w:shd w:val="clear" w:color="auto" w:fill="E1DFDD"/>
    </w:rPr>
  </w:style>
  <w:style w:type="character" w:customStyle="1" w:styleId="52">
    <w:name w:val="页脚 字符"/>
    <w:basedOn w:val="21"/>
    <w:link w:val="11"/>
    <w:uiPriority w:val="99"/>
    <w:rPr>
      <w:rFonts w:eastAsia="仿宋"/>
      <w:snapToGrid w:val="0"/>
      <w:color w:val="000000"/>
      <w:sz w:val="18"/>
      <w:szCs w:val="21"/>
      <w:lang w:eastAsia="en-US"/>
    </w:rPr>
  </w:style>
</w:styles>
</file>

<file path=word/_rels/document.xml.rels><?xml version="1.0" encoding="UTF-8" standalone="yes"?>
<Relationships xmlns="http://schemas.openxmlformats.org/package/2006/relationships"><Relationship Id="rId99" Type="http://schemas.openxmlformats.org/officeDocument/2006/relationships/chart" Target="charts/chart85.xml"/><Relationship Id="rId98" Type="http://schemas.openxmlformats.org/officeDocument/2006/relationships/chart" Target="charts/chart84.xml"/><Relationship Id="rId97" Type="http://schemas.openxmlformats.org/officeDocument/2006/relationships/chart" Target="charts/chart83.xml"/><Relationship Id="rId96" Type="http://schemas.openxmlformats.org/officeDocument/2006/relationships/chart" Target="charts/chart82.xml"/><Relationship Id="rId95" Type="http://schemas.openxmlformats.org/officeDocument/2006/relationships/chart" Target="charts/chart81.xml"/><Relationship Id="rId94" Type="http://schemas.openxmlformats.org/officeDocument/2006/relationships/chart" Target="charts/chart80.xml"/><Relationship Id="rId93" Type="http://schemas.openxmlformats.org/officeDocument/2006/relationships/chart" Target="charts/chart79.xml"/><Relationship Id="rId92" Type="http://schemas.openxmlformats.org/officeDocument/2006/relationships/chart" Target="charts/chart78.xml"/><Relationship Id="rId91" Type="http://schemas.openxmlformats.org/officeDocument/2006/relationships/chart" Target="charts/chart77.xml"/><Relationship Id="rId90" Type="http://schemas.openxmlformats.org/officeDocument/2006/relationships/chart" Target="charts/chart76.xml"/><Relationship Id="rId9" Type="http://schemas.openxmlformats.org/officeDocument/2006/relationships/footer" Target="footer2.xml"/><Relationship Id="rId89" Type="http://schemas.openxmlformats.org/officeDocument/2006/relationships/chart" Target="charts/chart75.xml"/><Relationship Id="rId88" Type="http://schemas.openxmlformats.org/officeDocument/2006/relationships/chart" Target="charts/chart74.xml"/><Relationship Id="rId87" Type="http://schemas.openxmlformats.org/officeDocument/2006/relationships/chart" Target="charts/chart73.xml"/><Relationship Id="rId86" Type="http://schemas.openxmlformats.org/officeDocument/2006/relationships/chart" Target="charts/chart72.xml"/><Relationship Id="rId85" Type="http://schemas.openxmlformats.org/officeDocument/2006/relationships/chart" Target="charts/chart71.xml"/><Relationship Id="rId84" Type="http://schemas.openxmlformats.org/officeDocument/2006/relationships/chart" Target="charts/chart70.xml"/><Relationship Id="rId83" Type="http://schemas.openxmlformats.org/officeDocument/2006/relationships/chart" Target="charts/chart69.xml"/><Relationship Id="rId82" Type="http://schemas.openxmlformats.org/officeDocument/2006/relationships/chart" Target="charts/chart68.xml"/><Relationship Id="rId81" Type="http://schemas.openxmlformats.org/officeDocument/2006/relationships/chart" Target="charts/chart67.xml"/><Relationship Id="rId80" Type="http://schemas.openxmlformats.org/officeDocument/2006/relationships/chart" Target="charts/chart66.xml"/><Relationship Id="rId8" Type="http://schemas.openxmlformats.org/officeDocument/2006/relationships/footer" Target="footer1.xml"/><Relationship Id="rId79" Type="http://schemas.openxmlformats.org/officeDocument/2006/relationships/chart" Target="charts/chart65.xml"/><Relationship Id="rId78" Type="http://schemas.openxmlformats.org/officeDocument/2006/relationships/chart" Target="charts/chart64.xml"/><Relationship Id="rId77" Type="http://schemas.openxmlformats.org/officeDocument/2006/relationships/chart" Target="charts/chart63.xml"/><Relationship Id="rId76" Type="http://schemas.openxmlformats.org/officeDocument/2006/relationships/chart" Target="charts/chart62.xml"/><Relationship Id="rId75" Type="http://schemas.openxmlformats.org/officeDocument/2006/relationships/chart" Target="charts/chart61.xml"/><Relationship Id="rId74" Type="http://schemas.openxmlformats.org/officeDocument/2006/relationships/chart" Target="charts/chart60.xml"/><Relationship Id="rId73" Type="http://schemas.openxmlformats.org/officeDocument/2006/relationships/chart" Target="charts/chart59.xml"/><Relationship Id="rId72" Type="http://schemas.openxmlformats.org/officeDocument/2006/relationships/chart" Target="charts/chart58.xml"/><Relationship Id="rId71" Type="http://schemas.openxmlformats.org/officeDocument/2006/relationships/chart" Target="charts/chart57.xml"/><Relationship Id="rId70" Type="http://schemas.openxmlformats.org/officeDocument/2006/relationships/chart" Target="charts/chart56.xml"/><Relationship Id="rId7" Type="http://schemas.openxmlformats.org/officeDocument/2006/relationships/header" Target="header3.xml"/><Relationship Id="rId69" Type="http://schemas.openxmlformats.org/officeDocument/2006/relationships/chart" Target="charts/chart55.xml"/><Relationship Id="rId68" Type="http://schemas.openxmlformats.org/officeDocument/2006/relationships/chart" Target="charts/chart54.xml"/><Relationship Id="rId67" Type="http://schemas.openxmlformats.org/officeDocument/2006/relationships/chart" Target="charts/chart53.xml"/><Relationship Id="rId66" Type="http://schemas.openxmlformats.org/officeDocument/2006/relationships/chart" Target="charts/chart52.xml"/><Relationship Id="rId65" Type="http://schemas.openxmlformats.org/officeDocument/2006/relationships/chart" Target="charts/chart51.xml"/><Relationship Id="rId64" Type="http://schemas.openxmlformats.org/officeDocument/2006/relationships/chart" Target="charts/chart50.xml"/><Relationship Id="rId63" Type="http://schemas.openxmlformats.org/officeDocument/2006/relationships/chart" Target="charts/chart49.xml"/><Relationship Id="rId62" Type="http://schemas.openxmlformats.org/officeDocument/2006/relationships/chart" Target="charts/chart48.xml"/><Relationship Id="rId61" Type="http://schemas.openxmlformats.org/officeDocument/2006/relationships/chart" Target="charts/chart47.xml"/><Relationship Id="rId60" Type="http://schemas.openxmlformats.org/officeDocument/2006/relationships/chart" Target="charts/chart46.xml"/><Relationship Id="rId6" Type="http://schemas.openxmlformats.org/officeDocument/2006/relationships/header" Target="header2.xml"/><Relationship Id="rId59" Type="http://schemas.openxmlformats.org/officeDocument/2006/relationships/chart" Target="charts/chart45.xml"/><Relationship Id="rId58" Type="http://schemas.openxmlformats.org/officeDocument/2006/relationships/chart" Target="charts/chart44.xml"/><Relationship Id="rId57" Type="http://schemas.openxmlformats.org/officeDocument/2006/relationships/chart" Target="charts/chart43.xml"/><Relationship Id="rId56" Type="http://schemas.openxmlformats.org/officeDocument/2006/relationships/chart" Target="charts/chart42.xml"/><Relationship Id="rId55" Type="http://schemas.openxmlformats.org/officeDocument/2006/relationships/chart" Target="charts/chart41.xml"/><Relationship Id="rId54" Type="http://schemas.openxmlformats.org/officeDocument/2006/relationships/chart" Target="charts/chart40.xml"/><Relationship Id="rId53" Type="http://schemas.openxmlformats.org/officeDocument/2006/relationships/chart" Target="charts/chart39.xml"/><Relationship Id="rId52" Type="http://schemas.openxmlformats.org/officeDocument/2006/relationships/chart" Target="charts/chart38.xml"/><Relationship Id="rId51" Type="http://schemas.openxmlformats.org/officeDocument/2006/relationships/chart" Target="charts/chart37.xml"/><Relationship Id="rId50" Type="http://schemas.openxmlformats.org/officeDocument/2006/relationships/chart" Target="charts/chart36.xml"/><Relationship Id="rId5" Type="http://schemas.openxmlformats.org/officeDocument/2006/relationships/header" Target="header1.xml"/><Relationship Id="rId49" Type="http://schemas.openxmlformats.org/officeDocument/2006/relationships/chart" Target="charts/chart35.xml"/><Relationship Id="rId48" Type="http://schemas.openxmlformats.org/officeDocument/2006/relationships/chart" Target="charts/chart34.xml"/><Relationship Id="rId47" Type="http://schemas.openxmlformats.org/officeDocument/2006/relationships/chart" Target="charts/chart33.xml"/><Relationship Id="rId46" Type="http://schemas.openxmlformats.org/officeDocument/2006/relationships/chart" Target="charts/chart32.xml"/><Relationship Id="rId45" Type="http://schemas.openxmlformats.org/officeDocument/2006/relationships/chart" Target="charts/chart31.xml"/><Relationship Id="rId44" Type="http://schemas.openxmlformats.org/officeDocument/2006/relationships/chart" Target="charts/chart30.xml"/><Relationship Id="rId43" Type="http://schemas.openxmlformats.org/officeDocument/2006/relationships/chart" Target="charts/chart29.xml"/><Relationship Id="rId42" Type="http://schemas.openxmlformats.org/officeDocument/2006/relationships/chart" Target="charts/chart28.xml"/><Relationship Id="rId41" Type="http://schemas.openxmlformats.org/officeDocument/2006/relationships/chart" Target="charts/chart27.xml"/><Relationship Id="rId40" Type="http://schemas.openxmlformats.org/officeDocument/2006/relationships/chart" Target="charts/chart26.xml"/><Relationship Id="rId4" Type="http://schemas.openxmlformats.org/officeDocument/2006/relationships/endnotes" Target="endnotes.xml"/><Relationship Id="rId39" Type="http://schemas.openxmlformats.org/officeDocument/2006/relationships/chart" Target="charts/chart25.xml"/><Relationship Id="rId38" Type="http://schemas.openxmlformats.org/officeDocument/2006/relationships/chart" Target="charts/chart24.xml"/><Relationship Id="rId37" Type="http://schemas.openxmlformats.org/officeDocument/2006/relationships/chart" Target="charts/chart23.xml"/><Relationship Id="rId36" Type="http://schemas.openxmlformats.org/officeDocument/2006/relationships/chart" Target="charts/chart22.xml"/><Relationship Id="rId35" Type="http://schemas.openxmlformats.org/officeDocument/2006/relationships/chart" Target="charts/chart21.xml"/><Relationship Id="rId34" Type="http://schemas.openxmlformats.org/officeDocument/2006/relationships/chart" Target="charts/chart20.xml"/><Relationship Id="rId33" Type="http://schemas.openxmlformats.org/officeDocument/2006/relationships/chart" Target="charts/chart19.xml"/><Relationship Id="rId32" Type="http://schemas.openxmlformats.org/officeDocument/2006/relationships/chart" Target="charts/chart18.xml"/><Relationship Id="rId31" Type="http://schemas.openxmlformats.org/officeDocument/2006/relationships/chart" Target="charts/chart17.xml"/><Relationship Id="rId30" Type="http://schemas.openxmlformats.org/officeDocument/2006/relationships/chart" Target="charts/chart16.xml"/><Relationship Id="rId3" Type="http://schemas.openxmlformats.org/officeDocument/2006/relationships/footnotes" Target="footnotes.xml"/><Relationship Id="rId29" Type="http://schemas.openxmlformats.org/officeDocument/2006/relationships/chart" Target="charts/chart15.xml"/><Relationship Id="rId28" Type="http://schemas.openxmlformats.org/officeDocument/2006/relationships/chart" Target="charts/chart14.xml"/><Relationship Id="rId27" Type="http://schemas.openxmlformats.org/officeDocument/2006/relationships/chart" Target="charts/chart13.xml"/><Relationship Id="rId26" Type="http://schemas.openxmlformats.org/officeDocument/2006/relationships/chart" Target="charts/chart12.xml"/><Relationship Id="rId25" Type="http://schemas.openxmlformats.org/officeDocument/2006/relationships/chart" Target="charts/chart11.xml"/><Relationship Id="rId24" Type="http://schemas.openxmlformats.org/officeDocument/2006/relationships/chart" Target="charts/chart10.xml"/><Relationship Id="rId23" Type="http://schemas.openxmlformats.org/officeDocument/2006/relationships/chart" Target="charts/chart9.xml"/><Relationship Id="rId22" Type="http://schemas.openxmlformats.org/officeDocument/2006/relationships/chart" Target="charts/chart8.xml"/><Relationship Id="rId21" Type="http://schemas.openxmlformats.org/officeDocument/2006/relationships/chart" Target="charts/chart7.xml"/><Relationship Id="rId20" Type="http://schemas.openxmlformats.org/officeDocument/2006/relationships/chart" Target="charts/chart6.xml"/><Relationship Id="rId2" Type="http://schemas.openxmlformats.org/officeDocument/2006/relationships/settings" Target="settings.xml"/><Relationship Id="rId19" Type="http://schemas.openxmlformats.org/officeDocument/2006/relationships/chart" Target="charts/chart5.xml"/><Relationship Id="rId18" Type="http://schemas.openxmlformats.org/officeDocument/2006/relationships/chart" Target="charts/chart4.xml"/><Relationship Id="rId17" Type="http://schemas.openxmlformats.org/officeDocument/2006/relationships/chart" Target="charts/chart3.xml"/><Relationship Id="rId16" Type="http://schemas.openxmlformats.org/officeDocument/2006/relationships/chart" Target="charts/chart2.xml"/><Relationship Id="rId15" Type="http://schemas.openxmlformats.org/officeDocument/2006/relationships/chart" Target="charts/chart1.xml"/><Relationship Id="rId14" Type="http://schemas.openxmlformats.org/officeDocument/2006/relationships/image" Target="media/image2.jpeg"/><Relationship Id="rId13" Type="http://schemas.openxmlformats.org/officeDocument/2006/relationships/theme" Target="theme/theme1.xml"/><Relationship Id="rId12" Type="http://schemas.openxmlformats.org/officeDocument/2006/relationships/footer" Target="footer5.xml"/><Relationship Id="rId114" Type="http://schemas.openxmlformats.org/officeDocument/2006/relationships/fontTable" Target="fontTable.xml"/><Relationship Id="rId113" Type="http://schemas.openxmlformats.org/officeDocument/2006/relationships/numbering" Target="numbering.xml"/><Relationship Id="rId112" Type="http://schemas.openxmlformats.org/officeDocument/2006/relationships/customXml" Target="../customXml/item1.xml"/><Relationship Id="rId111" Type="http://schemas.openxmlformats.org/officeDocument/2006/relationships/chart" Target="charts/chart97.xml"/><Relationship Id="rId110" Type="http://schemas.openxmlformats.org/officeDocument/2006/relationships/chart" Target="charts/chart96.xml"/><Relationship Id="rId11" Type="http://schemas.openxmlformats.org/officeDocument/2006/relationships/footer" Target="footer4.xml"/><Relationship Id="rId109" Type="http://schemas.openxmlformats.org/officeDocument/2006/relationships/chart" Target="charts/chart95.xml"/><Relationship Id="rId108" Type="http://schemas.openxmlformats.org/officeDocument/2006/relationships/chart" Target="charts/chart94.xml"/><Relationship Id="rId107" Type="http://schemas.openxmlformats.org/officeDocument/2006/relationships/chart" Target="charts/chart93.xml"/><Relationship Id="rId106" Type="http://schemas.openxmlformats.org/officeDocument/2006/relationships/chart" Target="charts/chart92.xml"/><Relationship Id="rId105" Type="http://schemas.openxmlformats.org/officeDocument/2006/relationships/chart" Target="charts/chart91.xml"/><Relationship Id="rId104" Type="http://schemas.openxmlformats.org/officeDocument/2006/relationships/chart" Target="charts/chart90.xml"/><Relationship Id="rId103" Type="http://schemas.openxmlformats.org/officeDocument/2006/relationships/chart" Target="charts/chart89.xml"/><Relationship Id="rId102" Type="http://schemas.openxmlformats.org/officeDocument/2006/relationships/chart" Target="charts/chart88.xml"/><Relationship Id="rId101" Type="http://schemas.openxmlformats.org/officeDocument/2006/relationships/chart" Target="charts/chart87.xml"/><Relationship Id="rId100" Type="http://schemas.openxmlformats.org/officeDocument/2006/relationships/chart" Target="charts/chart86.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10.xml.rels><?xml version="1.0" encoding="UTF-8" standalone="yes"?>
<Relationships xmlns="http://schemas.openxmlformats.org/package/2006/relationships"><Relationship Id="rId4" Type="http://schemas.microsoft.com/office/2011/relationships/chartColorStyle" Target="colors5.xml"/><Relationship Id="rId3" Type="http://schemas.microsoft.com/office/2011/relationships/chartStyle" Target="style5.xml"/><Relationship Id="rId2" Type="http://schemas.openxmlformats.org/officeDocument/2006/relationships/themeOverride" Target="../theme/themeOverride10.xml"/><Relationship Id="rId1" Type="http://schemas.openxmlformats.org/officeDocument/2006/relationships/package" Target="../embeddings/Workbook11.xlsx"/></Relationships>
</file>

<file path=word/charts/_rels/chart11.xml.rels><?xml version="1.0" encoding="UTF-8" standalone="yes"?>
<Relationships xmlns="http://schemas.openxmlformats.org/package/2006/relationships"><Relationship Id="rId2" Type="http://schemas.openxmlformats.org/officeDocument/2006/relationships/themeOverride" Target="../theme/themeOverride12.xml"/><Relationship Id="rId1" Type="http://schemas.openxmlformats.org/officeDocument/2006/relationships/package" Target="../embeddings/Workbook13.xlsx"/></Relationships>
</file>

<file path=word/charts/_rels/chart12.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themeOverride" Target="../theme/themeOverride7.xml"/><Relationship Id="rId1" Type="http://schemas.openxmlformats.org/officeDocument/2006/relationships/package" Target="../embeddings/Workbook8.xlsx"/></Relationships>
</file>

<file path=word/charts/_rels/chart13.xml.rels><?xml version="1.0" encoding="UTF-8" standalone="yes"?>
<Relationships xmlns="http://schemas.openxmlformats.org/package/2006/relationships"><Relationship Id="rId2" Type="http://schemas.openxmlformats.org/officeDocument/2006/relationships/themeOverride" Target="../theme/themeOverride13.xml"/><Relationship Id="rId1" Type="http://schemas.openxmlformats.org/officeDocument/2006/relationships/package" Target="../embeddings/Workbook14.xlsx"/></Relationships>
</file>

<file path=word/charts/_rels/chart14.xml.rels><?xml version="1.0" encoding="UTF-8" standalone="yes"?>
<Relationships xmlns="http://schemas.openxmlformats.org/package/2006/relationships"><Relationship Id="rId2" Type="http://schemas.openxmlformats.org/officeDocument/2006/relationships/themeOverride" Target="../theme/themeOverride15.xml"/><Relationship Id="rId1" Type="http://schemas.openxmlformats.org/officeDocument/2006/relationships/package" Target="../embeddings/Workbook16.xlsx"/></Relationships>
</file>

<file path=word/charts/_rels/chart15.xml.rels><?xml version="1.0" encoding="UTF-8" standalone="yes"?>
<Relationships xmlns="http://schemas.openxmlformats.org/package/2006/relationships"><Relationship Id="rId2" Type="http://schemas.openxmlformats.org/officeDocument/2006/relationships/themeOverride" Target="../theme/themeOverride3.xml"/><Relationship Id="rId1" Type="http://schemas.openxmlformats.org/officeDocument/2006/relationships/package" Target="../embeddings/Workbook4.xlsx"/></Relationships>
</file>

<file path=word/charts/_rels/chart16.xml.rels><?xml version="1.0" encoding="UTF-8" standalone="yes"?>
<Relationships xmlns="http://schemas.openxmlformats.org/package/2006/relationships"><Relationship Id="rId2" Type="http://schemas.openxmlformats.org/officeDocument/2006/relationships/themeOverride" Target="../theme/themeOverride5.xml"/><Relationship Id="rId1" Type="http://schemas.openxmlformats.org/officeDocument/2006/relationships/package" Target="../embeddings/Workbook6.xlsx"/></Relationships>
</file>

<file path=word/charts/_rels/chart17.xml.rels><?xml version="1.0" encoding="UTF-8" standalone="yes"?>
<Relationships xmlns="http://schemas.openxmlformats.org/package/2006/relationships"><Relationship Id="rId4" Type="http://schemas.microsoft.com/office/2011/relationships/chartColorStyle" Target="colors7.xml"/><Relationship Id="rId3" Type="http://schemas.microsoft.com/office/2011/relationships/chartStyle" Target="style7.xml"/><Relationship Id="rId2" Type="http://schemas.openxmlformats.org/officeDocument/2006/relationships/themeOverride" Target="../theme/themeOverride14.xml"/><Relationship Id="rId1" Type="http://schemas.openxmlformats.org/officeDocument/2006/relationships/package" Target="../embeddings/Workbook15.xlsx"/></Relationships>
</file>

<file path=word/charts/_rels/chart18.xml.rels><?xml version="1.0" encoding="UTF-8" standalone="yes"?>
<Relationships xmlns="http://schemas.openxmlformats.org/package/2006/relationships"><Relationship Id="rId4" Type="http://schemas.microsoft.com/office/2011/relationships/chartColorStyle" Target="colors8.xml"/><Relationship Id="rId3" Type="http://schemas.microsoft.com/office/2011/relationships/chartStyle" Target="style8.xml"/><Relationship Id="rId2" Type="http://schemas.openxmlformats.org/officeDocument/2006/relationships/themeOverride" Target="../theme/themeOverride16.xml"/><Relationship Id="rId1" Type="http://schemas.openxmlformats.org/officeDocument/2006/relationships/package" Target="../embeddings/Workbook17.xlsx"/></Relationships>
</file>

<file path=word/charts/_rels/chart19.xml.rels><?xml version="1.0" encoding="UTF-8" standalone="yes"?>
<Relationships xmlns="http://schemas.openxmlformats.org/package/2006/relationships"><Relationship Id="rId2" Type="http://schemas.openxmlformats.org/officeDocument/2006/relationships/themeOverride" Target="../theme/themeOverride17.xml"/><Relationship Id="rId1" Type="http://schemas.openxmlformats.org/officeDocument/2006/relationships/package" Target="../embeddings/Workbook18.xlsx"/></Relationships>
</file>

<file path=word/charts/_rels/chart2.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file:///C:\Users\lenovo\Desktop\&#26032;&#24314;%20XLSX%20&#24037;&#20316;&#34920;.xlsx" TargetMode="External"/></Relationships>
</file>

<file path=word/charts/_rels/chart20.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package" Target="../embeddings/Workbook2.xlsx"/></Relationships>
</file>

<file path=word/charts/_rels/chart21.xml.rels><?xml version="1.0" encoding="UTF-8" standalone="yes"?>
<Relationships xmlns="http://schemas.openxmlformats.org/package/2006/relationships"><Relationship Id="rId2" Type="http://schemas.openxmlformats.org/officeDocument/2006/relationships/themeOverride" Target="../theme/themeOverride4.xml"/><Relationship Id="rId1" Type="http://schemas.openxmlformats.org/officeDocument/2006/relationships/package" Target="../embeddings/Workbook5.xlsx"/></Relationships>
</file>

<file path=word/charts/_rels/chart22.xml.rels><?xml version="1.0" encoding="UTF-8" standalone="yes"?>
<Relationships xmlns="http://schemas.openxmlformats.org/package/2006/relationships"><Relationship Id="rId2" Type="http://schemas.openxmlformats.org/officeDocument/2006/relationships/themeOverride" Target="../theme/themeOverride6.xml"/><Relationship Id="rId1" Type="http://schemas.openxmlformats.org/officeDocument/2006/relationships/package" Target="../embeddings/Workbook7.xlsx"/></Relationships>
</file>

<file path=word/charts/_rels/chart23.xml.rels><?xml version="1.0" encoding="UTF-8" standalone="yes"?>
<Relationships xmlns="http://schemas.openxmlformats.org/package/2006/relationships"><Relationship Id="rId2" Type="http://schemas.openxmlformats.org/officeDocument/2006/relationships/themeOverride" Target="../theme/themeOverride20.xml"/><Relationship Id="rId1" Type="http://schemas.openxmlformats.org/officeDocument/2006/relationships/package" Target="../embeddings/Workbook22.xlsx"/></Relationships>
</file>

<file path=word/charts/_rels/chart24.xml.rels><?xml version="1.0" encoding="UTF-8" standalone="yes"?>
<Relationships xmlns="http://schemas.openxmlformats.org/package/2006/relationships"><Relationship Id="rId4" Type="http://schemas.microsoft.com/office/2011/relationships/chartColorStyle" Target="colors11.xml"/><Relationship Id="rId3" Type="http://schemas.microsoft.com/office/2011/relationships/chartStyle" Target="style11.xml"/><Relationship Id="rId2" Type="http://schemas.openxmlformats.org/officeDocument/2006/relationships/themeOverride" Target="../theme/themeOverride19.xml"/><Relationship Id="rId1" Type="http://schemas.openxmlformats.org/officeDocument/2006/relationships/package" Target="../embeddings/Workbook21.xlsx"/></Relationships>
</file>

<file path=word/charts/_rels/chart25.xml.rels><?xml version="1.0" encoding="UTF-8" standalone="yes"?>
<Relationships xmlns="http://schemas.openxmlformats.org/package/2006/relationships"><Relationship Id="rId2" Type="http://schemas.openxmlformats.org/officeDocument/2006/relationships/themeOverride" Target="../theme/themeOverride21.xml"/><Relationship Id="rId1" Type="http://schemas.openxmlformats.org/officeDocument/2006/relationships/package" Target="../embeddings/Workbook23.xlsx"/></Relationships>
</file>

<file path=word/charts/_rels/chart26.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_rels/chart27.xml.rels><?xml version="1.0" encoding="UTF-8" standalone="yes"?>
<Relationships xmlns="http://schemas.openxmlformats.org/package/2006/relationships"><Relationship Id="rId2" Type="http://schemas.openxmlformats.org/officeDocument/2006/relationships/themeOverride" Target="../theme/themeOverride42.xml"/><Relationship Id="rId1" Type="http://schemas.openxmlformats.org/officeDocument/2006/relationships/package" Target="../embeddings/Workbook44.xlsx"/></Relationships>
</file>

<file path=word/charts/_rels/chart28.xml.rels><?xml version="1.0" encoding="UTF-8" standalone="yes"?>
<Relationships xmlns="http://schemas.openxmlformats.org/package/2006/relationships"><Relationship Id="rId2" Type="http://schemas.openxmlformats.org/officeDocument/2006/relationships/themeOverride" Target="../theme/themeOverride43.xml"/><Relationship Id="rId1" Type="http://schemas.openxmlformats.org/officeDocument/2006/relationships/package" Target="../embeddings/Workbook45.xlsx"/></Relationships>
</file>

<file path=word/charts/_rels/chart29.xml.rels><?xml version="1.0" encoding="UTF-8" standalone="yes"?>
<Relationships xmlns="http://schemas.openxmlformats.org/package/2006/relationships"><Relationship Id="rId2" Type="http://schemas.openxmlformats.org/officeDocument/2006/relationships/themeOverride" Target="../theme/themeOverride48.xml"/><Relationship Id="rId1" Type="http://schemas.openxmlformats.org/officeDocument/2006/relationships/package" Target="../embeddings/Workbook50.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lenovo\Desktop\&#26032;&#24314;%20XLSX%20&#24037;&#20316;&#34920;.xlsx" TargetMode="External"/></Relationships>
</file>

<file path=word/charts/_rels/chart30.xml.rels><?xml version="1.0" encoding="UTF-8" standalone="yes"?>
<Relationships xmlns="http://schemas.openxmlformats.org/package/2006/relationships"><Relationship Id="rId4" Type="http://schemas.microsoft.com/office/2011/relationships/chartColorStyle" Target="colors26.xml"/><Relationship Id="rId3" Type="http://schemas.microsoft.com/office/2011/relationships/chartStyle" Target="style26.xml"/><Relationship Id="rId2" Type="http://schemas.openxmlformats.org/officeDocument/2006/relationships/themeOverride" Target="../theme/themeOverride50.xml"/><Relationship Id="rId1" Type="http://schemas.openxmlformats.org/officeDocument/2006/relationships/package" Target="../embeddings/Workbook52.xlsx"/></Relationships>
</file>

<file path=word/charts/_rels/chart31.xml.rels><?xml version="1.0" encoding="UTF-8" standalone="yes"?>
<Relationships xmlns="http://schemas.openxmlformats.org/package/2006/relationships"><Relationship Id="rId4" Type="http://schemas.microsoft.com/office/2011/relationships/chartColorStyle" Target="colors20.xml"/><Relationship Id="rId3" Type="http://schemas.microsoft.com/office/2011/relationships/chartStyle" Target="style20.xml"/><Relationship Id="rId2" Type="http://schemas.openxmlformats.org/officeDocument/2006/relationships/themeOverride" Target="../theme/themeOverride40.xml"/><Relationship Id="rId1" Type="http://schemas.openxmlformats.org/officeDocument/2006/relationships/package" Target="../embeddings/Workbook42.xlsx"/></Relationships>
</file>

<file path=word/charts/_rels/chart32.xml.rels><?xml version="1.0" encoding="UTF-8" standalone="yes"?>
<Relationships xmlns="http://schemas.openxmlformats.org/package/2006/relationships"><Relationship Id="rId4" Type="http://schemas.microsoft.com/office/2011/relationships/chartColorStyle" Target="colors25.xml"/><Relationship Id="rId3" Type="http://schemas.microsoft.com/office/2011/relationships/chartStyle" Target="style25.xml"/><Relationship Id="rId2" Type="http://schemas.openxmlformats.org/officeDocument/2006/relationships/themeOverride" Target="../theme/themeOverride49.xml"/><Relationship Id="rId1" Type="http://schemas.openxmlformats.org/officeDocument/2006/relationships/package" Target="../embeddings/Workbook51.xlsx"/></Relationships>
</file>

<file path=word/charts/_rels/chart33.xml.rels><?xml version="1.0" encoding="UTF-8" standalone="yes"?>
<Relationships xmlns="http://schemas.openxmlformats.org/package/2006/relationships"><Relationship Id="rId4" Type="http://schemas.microsoft.com/office/2011/relationships/chartColorStyle" Target="colors16.xml"/><Relationship Id="rId3" Type="http://schemas.microsoft.com/office/2011/relationships/chartStyle" Target="style16.xml"/><Relationship Id="rId2" Type="http://schemas.openxmlformats.org/officeDocument/2006/relationships/themeOverride" Target="../theme/themeOverride30.xml"/><Relationship Id="rId1" Type="http://schemas.openxmlformats.org/officeDocument/2006/relationships/package" Target="../embeddings/Workbook32.xlsx"/></Relationships>
</file>

<file path=word/charts/_rels/chart34.xml.rels><?xml version="1.0" encoding="UTF-8" standalone="yes"?>
<Relationships xmlns="http://schemas.openxmlformats.org/package/2006/relationships"><Relationship Id="rId4" Type="http://schemas.microsoft.com/office/2011/relationships/chartColorStyle" Target="colors21.xml"/><Relationship Id="rId3" Type="http://schemas.microsoft.com/office/2011/relationships/chartStyle" Target="style21.xml"/><Relationship Id="rId2" Type="http://schemas.openxmlformats.org/officeDocument/2006/relationships/themeOverride" Target="../theme/themeOverride41.xml"/><Relationship Id="rId1" Type="http://schemas.openxmlformats.org/officeDocument/2006/relationships/package" Target="../embeddings/Workbook43.xlsx"/></Relationships>
</file>

<file path=word/charts/_rels/chart35.xml.rels><?xml version="1.0" encoding="UTF-8" standalone="yes"?>
<Relationships xmlns="http://schemas.openxmlformats.org/package/2006/relationships"><Relationship Id="rId2" Type="http://schemas.openxmlformats.org/officeDocument/2006/relationships/themeOverride" Target="../theme/themeOverride24.xml"/><Relationship Id="rId1" Type="http://schemas.openxmlformats.org/officeDocument/2006/relationships/package" Target="../embeddings/Workbook26.xlsx"/></Relationships>
</file>

<file path=word/charts/_rels/chart36.xml.rels><?xml version="1.0" encoding="UTF-8" standalone="yes"?>
<Relationships xmlns="http://schemas.openxmlformats.org/package/2006/relationships"><Relationship Id="rId2" Type="http://schemas.openxmlformats.org/officeDocument/2006/relationships/themeOverride" Target="../theme/themeOverride22.xml"/><Relationship Id="rId1" Type="http://schemas.openxmlformats.org/officeDocument/2006/relationships/package" Target="../embeddings/Workbook24.xlsx"/></Relationships>
</file>

<file path=word/charts/_rels/chart37.xml.rels><?xml version="1.0" encoding="UTF-8" standalone="yes"?>
<Relationships xmlns="http://schemas.openxmlformats.org/package/2006/relationships"><Relationship Id="rId4" Type="http://schemas.microsoft.com/office/2011/relationships/chartColorStyle" Target="colors22.xml"/><Relationship Id="rId3" Type="http://schemas.microsoft.com/office/2011/relationships/chartStyle" Target="style22.xml"/><Relationship Id="rId2" Type="http://schemas.openxmlformats.org/officeDocument/2006/relationships/themeOverride" Target="../theme/themeOverride44.xml"/><Relationship Id="rId1" Type="http://schemas.openxmlformats.org/officeDocument/2006/relationships/package" Target="../embeddings/Workbook46.xlsx"/></Relationships>
</file>

<file path=word/charts/_rels/chart38.xml.rels><?xml version="1.0" encoding="UTF-8" standalone="yes"?>
<Relationships xmlns="http://schemas.openxmlformats.org/package/2006/relationships"><Relationship Id="rId4" Type="http://schemas.microsoft.com/office/2011/relationships/chartColorStyle" Target="colors19.xml"/><Relationship Id="rId3" Type="http://schemas.microsoft.com/office/2011/relationships/chartStyle" Target="style19.xml"/><Relationship Id="rId2" Type="http://schemas.openxmlformats.org/officeDocument/2006/relationships/themeOverride" Target="../theme/themeOverride36.xml"/><Relationship Id="rId1" Type="http://schemas.openxmlformats.org/officeDocument/2006/relationships/package" Target="../embeddings/Workbook38.xlsx"/></Relationships>
</file>

<file path=word/charts/_rels/chart39.xml.rels><?xml version="1.0" encoding="UTF-8" standalone="yes"?>
<Relationships xmlns="http://schemas.openxmlformats.org/package/2006/relationships"><Relationship Id="rId4" Type="http://schemas.microsoft.com/office/2011/relationships/chartColorStyle" Target="colors23.xml"/><Relationship Id="rId3" Type="http://schemas.microsoft.com/office/2011/relationships/chartStyle" Target="style23.xml"/><Relationship Id="rId2" Type="http://schemas.openxmlformats.org/officeDocument/2006/relationships/themeOverride" Target="../theme/themeOverride45.xml"/><Relationship Id="rId1" Type="http://schemas.openxmlformats.org/officeDocument/2006/relationships/package" Target="../embeddings/Workbook47.xlsx"/></Relationships>
</file>

<file path=word/charts/_rels/chart4.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package" Target="../embeddings/Workbook19.xlsx"/></Relationships>
</file>

<file path=word/charts/_rels/chart40.xml.rels><?xml version="1.0" encoding="UTF-8" standalone="yes"?>
<Relationships xmlns="http://schemas.openxmlformats.org/package/2006/relationships"><Relationship Id="rId4" Type="http://schemas.microsoft.com/office/2011/relationships/chartColorStyle" Target="colors14.xml"/><Relationship Id="rId3" Type="http://schemas.microsoft.com/office/2011/relationships/chartStyle" Target="style14.xml"/><Relationship Id="rId2" Type="http://schemas.openxmlformats.org/officeDocument/2006/relationships/themeOverride" Target="../theme/themeOverride28.xml"/><Relationship Id="rId1" Type="http://schemas.openxmlformats.org/officeDocument/2006/relationships/package" Target="../embeddings/Workbook30.xlsx"/></Relationships>
</file>

<file path=word/charts/_rels/chart41.xml.rels><?xml version="1.0" encoding="UTF-8" standalone="yes"?>
<Relationships xmlns="http://schemas.openxmlformats.org/package/2006/relationships"><Relationship Id="rId4" Type="http://schemas.microsoft.com/office/2011/relationships/chartColorStyle" Target="colors24.xml"/><Relationship Id="rId3" Type="http://schemas.microsoft.com/office/2011/relationships/chartStyle" Target="style24.xml"/><Relationship Id="rId2" Type="http://schemas.openxmlformats.org/officeDocument/2006/relationships/themeOverride" Target="../theme/themeOverride46.xml"/><Relationship Id="rId1" Type="http://schemas.openxmlformats.org/officeDocument/2006/relationships/package" Target="../embeddings/Workbook48.xlsx"/></Relationships>
</file>

<file path=word/charts/_rels/chart42.xml.rels><?xml version="1.0" encoding="UTF-8" standalone="yes"?>
<Relationships xmlns="http://schemas.openxmlformats.org/package/2006/relationships"><Relationship Id="rId2" Type="http://schemas.openxmlformats.org/officeDocument/2006/relationships/themeOverride" Target="../theme/themeOverride25.xml"/><Relationship Id="rId1" Type="http://schemas.openxmlformats.org/officeDocument/2006/relationships/package" Target="../embeddings/Workbook27.xlsx"/></Relationships>
</file>

<file path=word/charts/_rels/chart43.xml.rels><?xml version="1.0" encoding="UTF-8" standalone="yes"?>
<Relationships xmlns="http://schemas.openxmlformats.org/package/2006/relationships"><Relationship Id="rId2" Type="http://schemas.openxmlformats.org/officeDocument/2006/relationships/themeOverride" Target="../theme/themeOverride47.xml"/><Relationship Id="rId1" Type="http://schemas.openxmlformats.org/officeDocument/2006/relationships/package" Target="../embeddings/Workbook49.xlsx"/></Relationships>
</file>

<file path=word/charts/_rels/chart44.xml.rels><?xml version="1.0" encoding="UTF-8" standalone="yes"?>
<Relationships xmlns="http://schemas.openxmlformats.org/package/2006/relationships"><Relationship Id="rId2" Type="http://schemas.openxmlformats.org/officeDocument/2006/relationships/themeOverride" Target="../theme/themeOverride38.xml"/><Relationship Id="rId1" Type="http://schemas.openxmlformats.org/officeDocument/2006/relationships/package" Target="../embeddings/Workbook40.xlsx"/></Relationships>
</file>

<file path=word/charts/_rels/chart45.xml.rels><?xml version="1.0" encoding="UTF-8" standalone="yes"?>
<Relationships xmlns="http://schemas.openxmlformats.org/package/2006/relationships"><Relationship Id="rId2" Type="http://schemas.openxmlformats.org/officeDocument/2006/relationships/themeOverride" Target="../theme/themeOverride31.xml"/><Relationship Id="rId1" Type="http://schemas.openxmlformats.org/officeDocument/2006/relationships/package" Target="../embeddings/Workbook33.xlsx"/></Relationships>
</file>

<file path=word/charts/_rels/chart46.xml.rels><?xml version="1.0" encoding="UTF-8" standalone="yes"?>
<Relationships xmlns="http://schemas.openxmlformats.org/package/2006/relationships"><Relationship Id="rId4" Type="http://schemas.microsoft.com/office/2011/relationships/chartColorStyle" Target="colors13.xml"/><Relationship Id="rId3" Type="http://schemas.microsoft.com/office/2011/relationships/chartStyle" Target="style13.xml"/><Relationship Id="rId2" Type="http://schemas.openxmlformats.org/officeDocument/2006/relationships/themeOverride" Target="../theme/themeOverride26.xml"/><Relationship Id="rId1" Type="http://schemas.openxmlformats.org/officeDocument/2006/relationships/package" Target="../embeddings/Workbook28.xlsx"/></Relationships>
</file>

<file path=word/charts/_rels/chart47.xml.rels><?xml version="1.0" encoding="UTF-8" standalone="yes"?>
<Relationships xmlns="http://schemas.openxmlformats.org/package/2006/relationships"><Relationship Id="rId4" Type="http://schemas.microsoft.com/office/2011/relationships/chartColorStyle" Target="colors12.xml"/><Relationship Id="rId3" Type="http://schemas.microsoft.com/office/2011/relationships/chartStyle" Target="style12.xml"/><Relationship Id="rId2" Type="http://schemas.openxmlformats.org/officeDocument/2006/relationships/themeOverride" Target="../theme/themeOverride23.xml"/><Relationship Id="rId1" Type="http://schemas.openxmlformats.org/officeDocument/2006/relationships/package" Target="../embeddings/Workbook25.xlsx"/></Relationships>
</file>

<file path=word/charts/_rels/chart48.xml.rels><?xml version="1.0" encoding="UTF-8" standalone="yes"?>
<Relationships xmlns="http://schemas.openxmlformats.org/package/2006/relationships"><Relationship Id="rId2" Type="http://schemas.openxmlformats.org/officeDocument/2006/relationships/themeOverride" Target="../theme/themeOverride37.xml"/><Relationship Id="rId1" Type="http://schemas.openxmlformats.org/officeDocument/2006/relationships/package" Target="../embeddings/Workbook39.xlsx"/></Relationships>
</file>

<file path=word/charts/_rels/chart49.xml.rels><?xml version="1.0" encoding="UTF-8" standalone="yes"?>
<Relationships xmlns="http://schemas.openxmlformats.org/package/2006/relationships"><Relationship Id="rId2" Type="http://schemas.openxmlformats.org/officeDocument/2006/relationships/themeOverride" Target="../theme/themeOverride27.xml"/><Relationship Id="rId1" Type="http://schemas.openxmlformats.org/officeDocument/2006/relationships/package" Target="../embeddings/Workbook29.xlsx"/></Relationships>
</file>

<file path=word/charts/_rels/chart5.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lenovo\Desktop\2022&#27605;&#19994;&#29983;&#20449;&#24687;(1).XLSX" TargetMode="External"/></Relationships>
</file>

<file path=word/charts/_rels/chart50.xml.rels><?xml version="1.0" encoding="UTF-8" standalone="yes"?>
<Relationships xmlns="http://schemas.openxmlformats.org/package/2006/relationships"><Relationship Id="rId4" Type="http://schemas.microsoft.com/office/2011/relationships/chartColorStyle" Target="colors15.xml"/><Relationship Id="rId3" Type="http://schemas.microsoft.com/office/2011/relationships/chartStyle" Target="style15.xml"/><Relationship Id="rId2" Type="http://schemas.openxmlformats.org/officeDocument/2006/relationships/themeOverride" Target="../theme/themeOverride29.xml"/><Relationship Id="rId1" Type="http://schemas.openxmlformats.org/officeDocument/2006/relationships/package" Target="../embeddings/Workbook31.xlsx"/></Relationships>
</file>

<file path=word/charts/_rels/chart51.xml.rels><?xml version="1.0" encoding="UTF-8" standalone="yes"?>
<Relationships xmlns="http://schemas.openxmlformats.org/package/2006/relationships"><Relationship Id="rId2" Type="http://schemas.openxmlformats.org/officeDocument/2006/relationships/themeOverride" Target="../theme/themeOverride32.xml"/><Relationship Id="rId1" Type="http://schemas.openxmlformats.org/officeDocument/2006/relationships/package" Target="../embeddings/Workbook34.xlsx"/></Relationships>
</file>

<file path=word/charts/_rels/chart52.xml.rels><?xml version="1.0" encoding="UTF-8" standalone="yes"?>
<Relationships xmlns="http://schemas.openxmlformats.org/package/2006/relationships"><Relationship Id="rId4" Type="http://schemas.microsoft.com/office/2011/relationships/chartColorStyle" Target="colors17.xml"/><Relationship Id="rId3" Type="http://schemas.microsoft.com/office/2011/relationships/chartStyle" Target="style17.xml"/><Relationship Id="rId2" Type="http://schemas.openxmlformats.org/officeDocument/2006/relationships/themeOverride" Target="../theme/themeOverride33.xml"/><Relationship Id="rId1" Type="http://schemas.openxmlformats.org/officeDocument/2006/relationships/package" Target="../embeddings/Workbook35.xlsx"/></Relationships>
</file>

<file path=word/charts/_rels/chart53.xml.rels><?xml version="1.0" encoding="UTF-8" standalone="yes"?>
<Relationships xmlns="http://schemas.openxmlformats.org/package/2006/relationships"><Relationship Id="rId2" Type="http://schemas.openxmlformats.org/officeDocument/2006/relationships/themeOverride" Target="../theme/themeOverride34.xml"/><Relationship Id="rId1" Type="http://schemas.openxmlformats.org/officeDocument/2006/relationships/package" Target="../embeddings/Workbook36.xlsx"/></Relationships>
</file>

<file path=word/charts/_rels/chart54.xml.rels><?xml version="1.0" encoding="UTF-8" standalone="yes"?>
<Relationships xmlns="http://schemas.openxmlformats.org/package/2006/relationships"><Relationship Id="rId4" Type="http://schemas.microsoft.com/office/2011/relationships/chartColorStyle" Target="colors18.xml"/><Relationship Id="rId3" Type="http://schemas.microsoft.com/office/2011/relationships/chartStyle" Target="style18.xml"/><Relationship Id="rId2" Type="http://schemas.openxmlformats.org/officeDocument/2006/relationships/themeOverride" Target="../theme/themeOverride35.xml"/><Relationship Id="rId1" Type="http://schemas.openxmlformats.org/officeDocument/2006/relationships/package" Target="../embeddings/Workbook37.xlsx"/></Relationships>
</file>

<file path=word/charts/_rels/chart55.xml.rels><?xml version="1.0" encoding="UTF-8" standalone="yes"?>
<Relationships xmlns="http://schemas.openxmlformats.org/package/2006/relationships"><Relationship Id="rId2" Type="http://schemas.openxmlformats.org/officeDocument/2006/relationships/themeOverride" Target="../theme/themeOverride39.xml"/><Relationship Id="rId1" Type="http://schemas.openxmlformats.org/officeDocument/2006/relationships/package" Target="../embeddings/Workbook41.xlsx"/></Relationships>
</file>

<file path=word/charts/_rels/chart56.xml.rels><?xml version="1.0" encoding="UTF-8" standalone="yes"?>
<Relationships xmlns="http://schemas.openxmlformats.org/package/2006/relationships"><Relationship Id="rId2" Type="http://schemas.openxmlformats.org/officeDocument/2006/relationships/themeOverride" Target="../theme/themeOverride53.xml"/><Relationship Id="rId1" Type="http://schemas.openxmlformats.org/officeDocument/2006/relationships/package" Target="../embeddings/Workbook55.xlsx"/></Relationships>
</file>

<file path=word/charts/_rels/chart57.xml.rels><?xml version="1.0" encoding="UTF-8" standalone="yes"?>
<Relationships xmlns="http://schemas.openxmlformats.org/package/2006/relationships"><Relationship Id="rId2" Type="http://schemas.openxmlformats.org/officeDocument/2006/relationships/themeOverride" Target="../theme/themeOverride51.xml"/><Relationship Id="rId1" Type="http://schemas.openxmlformats.org/officeDocument/2006/relationships/package" Target="../embeddings/Workbook53.xlsx"/></Relationships>
</file>

<file path=word/charts/_rels/chart58.xml.rels><?xml version="1.0" encoding="UTF-8" standalone="yes"?>
<Relationships xmlns="http://schemas.openxmlformats.org/package/2006/relationships"><Relationship Id="rId4" Type="http://schemas.microsoft.com/office/2011/relationships/chartColorStyle" Target="colors27.xml"/><Relationship Id="rId3" Type="http://schemas.microsoft.com/office/2011/relationships/chartStyle" Target="style27.xml"/><Relationship Id="rId2" Type="http://schemas.openxmlformats.org/officeDocument/2006/relationships/themeOverride" Target="../theme/themeOverride52.xml"/><Relationship Id="rId1" Type="http://schemas.openxmlformats.org/officeDocument/2006/relationships/package" Target="../embeddings/Workbook54.xlsx"/></Relationships>
</file>

<file path=word/charts/_rels/chart59.xml.rels><?xml version="1.0" encoding="UTF-8" standalone="yes"?>
<Relationships xmlns="http://schemas.openxmlformats.org/package/2006/relationships"><Relationship Id="rId4" Type="http://schemas.microsoft.com/office/2011/relationships/chartColorStyle" Target="colors31.xml"/><Relationship Id="rId3" Type="http://schemas.microsoft.com/office/2011/relationships/chartStyle" Target="style31.xml"/><Relationship Id="rId2" Type="http://schemas.openxmlformats.org/officeDocument/2006/relationships/themeOverride" Target="../theme/themeOverride65.xml"/><Relationship Id="rId1" Type="http://schemas.openxmlformats.org/officeDocument/2006/relationships/package" Target="../embeddings/Workbook67.xlsx"/></Relationships>
</file>

<file path=word/charts/_rels/chart6.xml.rels><?xml version="1.0" encoding="UTF-8" standalone="yes"?>
<Relationships xmlns="http://schemas.openxmlformats.org/package/2006/relationships"><Relationship Id="rId4" Type="http://schemas.microsoft.com/office/2011/relationships/chartColorStyle" Target="colors4.xml"/><Relationship Id="rId3" Type="http://schemas.microsoft.com/office/2011/relationships/chartStyle" Target="style4.xml"/><Relationship Id="rId2" Type="http://schemas.openxmlformats.org/officeDocument/2006/relationships/themeOverride" Target="../theme/themeOverride8.xml"/><Relationship Id="rId1" Type="http://schemas.openxmlformats.org/officeDocument/2006/relationships/package" Target="../embeddings/Workbook9.xlsx"/></Relationships>
</file>

<file path=word/charts/_rels/chart60.xml.rels><?xml version="1.0" encoding="UTF-8" standalone="yes"?>
<Relationships xmlns="http://schemas.openxmlformats.org/package/2006/relationships"><Relationship Id="rId2" Type="http://schemas.openxmlformats.org/officeDocument/2006/relationships/themeOverride" Target="../theme/themeOverride66.xml"/><Relationship Id="rId1" Type="http://schemas.openxmlformats.org/officeDocument/2006/relationships/package" Target="../embeddings/Workbook68.xlsx"/></Relationships>
</file>

<file path=word/charts/_rels/chart61.xml.rels><?xml version="1.0" encoding="UTF-8" standalone="yes"?>
<Relationships xmlns="http://schemas.openxmlformats.org/package/2006/relationships"><Relationship Id="rId2" Type="http://schemas.openxmlformats.org/officeDocument/2006/relationships/themeOverride" Target="../theme/themeOverride82.xml"/><Relationship Id="rId1" Type="http://schemas.openxmlformats.org/officeDocument/2006/relationships/package" Target="../embeddings/Workbook84.xlsx"/></Relationships>
</file>

<file path=word/charts/_rels/chart62.xml.rels><?xml version="1.0" encoding="UTF-8" standalone="yes"?>
<Relationships xmlns="http://schemas.openxmlformats.org/package/2006/relationships"><Relationship Id="rId2" Type="http://schemas.openxmlformats.org/officeDocument/2006/relationships/themeOverride" Target="../theme/themeOverride64.xml"/><Relationship Id="rId1" Type="http://schemas.openxmlformats.org/officeDocument/2006/relationships/package" Target="../embeddings/Workbook66.xlsx"/></Relationships>
</file>

<file path=word/charts/_rels/chart63.xml.rels><?xml version="1.0" encoding="UTF-8" standalone="yes"?>
<Relationships xmlns="http://schemas.openxmlformats.org/package/2006/relationships"><Relationship Id="rId2" Type="http://schemas.openxmlformats.org/officeDocument/2006/relationships/themeOverride" Target="../theme/themeOverride63.xml"/><Relationship Id="rId1" Type="http://schemas.openxmlformats.org/officeDocument/2006/relationships/package" Target="../embeddings/Workbook65.xlsx"/></Relationships>
</file>

<file path=word/charts/_rels/chart64.xml.rels><?xml version="1.0" encoding="UTF-8" standalone="yes"?>
<Relationships xmlns="http://schemas.openxmlformats.org/package/2006/relationships"><Relationship Id="rId2" Type="http://schemas.openxmlformats.org/officeDocument/2006/relationships/themeOverride" Target="../theme/themeOverride61.xml"/><Relationship Id="rId1" Type="http://schemas.openxmlformats.org/officeDocument/2006/relationships/package" Target="../embeddings/Workbook63.xlsx"/></Relationships>
</file>

<file path=word/charts/_rels/chart65.xml.rels><?xml version="1.0" encoding="UTF-8" standalone="yes"?>
<Relationships xmlns="http://schemas.openxmlformats.org/package/2006/relationships"><Relationship Id="rId4" Type="http://schemas.microsoft.com/office/2011/relationships/chartColorStyle" Target="colors37.xml"/><Relationship Id="rId3" Type="http://schemas.microsoft.com/office/2011/relationships/chartStyle" Target="style37.xml"/><Relationship Id="rId2" Type="http://schemas.openxmlformats.org/officeDocument/2006/relationships/themeOverride" Target="../theme/themeOverride74.xml"/><Relationship Id="rId1" Type="http://schemas.openxmlformats.org/officeDocument/2006/relationships/package" Target="../embeddings/Workbook76.xlsx"/></Relationships>
</file>

<file path=word/charts/_rels/chart66.xml.rels><?xml version="1.0" encoding="UTF-8" standalone="yes"?>
<Relationships xmlns="http://schemas.openxmlformats.org/package/2006/relationships"><Relationship Id="rId2" Type="http://schemas.openxmlformats.org/officeDocument/2006/relationships/themeOverride" Target="../theme/themeOverride56.xml"/><Relationship Id="rId1" Type="http://schemas.openxmlformats.org/officeDocument/2006/relationships/package" Target="../embeddings/Workbook58.xlsx"/></Relationships>
</file>

<file path=word/charts/_rels/chart67.xml.rels><?xml version="1.0" encoding="UTF-8" standalone="yes"?>
<Relationships xmlns="http://schemas.openxmlformats.org/package/2006/relationships"><Relationship Id="rId2" Type="http://schemas.openxmlformats.org/officeDocument/2006/relationships/themeOverride" Target="../theme/themeOverride83.xml"/><Relationship Id="rId1" Type="http://schemas.openxmlformats.org/officeDocument/2006/relationships/package" Target="../embeddings/Workbook85.xlsx"/></Relationships>
</file>

<file path=word/charts/_rels/chart68.xml.rels><?xml version="1.0" encoding="UTF-8" standalone="yes"?>
<Relationships xmlns="http://schemas.openxmlformats.org/package/2006/relationships"><Relationship Id="rId4" Type="http://schemas.microsoft.com/office/2011/relationships/chartColorStyle" Target="colors40.xml"/><Relationship Id="rId3" Type="http://schemas.microsoft.com/office/2011/relationships/chartStyle" Target="style40.xml"/><Relationship Id="rId2" Type="http://schemas.openxmlformats.org/officeDocument/2006/relationships/themeOverride" Target="../theme/themeOverride77.xml"/><Relationship Id="rId1" Type="http://schemas.openxmlformats.org/officeDocument/2006/relationships/package" Target="../embeddings/Workbook79.xlsx"/></Relationships>
</file>

<file path=word/charts/_rels/chart69.xml.rels><?xml version="1.0" encoding="UTF-8" standalone="yes"?>
<Relationships xmlns="http://schemas.openxmlformats.org/package/2006/relationships"><Relationship Id="rId2" Type="http://schemas.openxmlformats.org/officeDocument/2006/relationships/themeOverride" Target="../theme/themeOverride84.xml"/><Relationship Id="rId1" Type="http://schemas.openxmlformats.org/officeDocument/2006/relationships/package" Target="../embeddings/Workbook86.xlsx"/></Relationships>
</file>

<file path=word/charts/_rels/chart7.xml.rels><?xml version="1.0" encoding="UTF-8" standalone="yes"?>
<Relationships xmlns="http://schemas.openxmlformats.org/package/2006/relationships"><Relationship Id="rId4" Type="http://schemas.microsoft.com/office/2011/relationships/chartColorStyle" Target="colors6.xml"/><Relationship Id="rId3" Type="http://schemas.microsoft.com/office/2011/relationships/chartStyle" Target="style6.xml"/><Relationship Id="rId2" Type="http://schemas.openxmlformats.org/officeDocument/2006/relationships/themeOverride" Target="../theme/themeOverride11.xml"/><Relationship Id="rId1" Type="http://schemas.openxmlformats.org/officeDocument/2006/relationships/package" Target="../embeddings/Workbook12.xlsx"/></Relationships>
</file>

<file path=word/charts/_rels/chart70.xml.rels><?xml version="1.0" encoding="UTF-8" standalone="yes"?>
<Relationships xmlns="http://schemas.openxmlformats.org/package/2006/relationships"><Relationship Id="rId2" Type="http://schemas.openxmlformats.org/officeDocument/2006/relationships/themeOverride" Target="../theme/themeOverride67.xml"/><Relationship Id="rId1" Type="http://schemas.openxmlformats.org/officeDocument/2006/relationships/package" Target="../embeddings/Workbook69.xlsx"/></Relationships>
</file>

<file path=word/charts/_rels/chart71.xml.rels><?xml version="1.0" encoding="UTF-8" standalone="yes"?>
<Relationships xmlns="http://schemas.openxmlformats.org/package/2006/relationships"><Relationship Id="rId2" Type="http://schemas.openxmlformats.org/officeDocument/2006/relationships/themeOverride" Target="../theme/themeOverride68.xml"/><Relationship Id="rId1" Type="http://schemas.openxmlformats.org/officeDocument/2006/relationships/package" Target="../embeddings/Workbook70.xlsx"/></Relationships>
</file>

<file path=word/charts/_rels/chart72.xml.rels><?xml version="1.0" encoding="UTF-8" standalone="yes"?>
<Relationships xmlns="http://schemas.openxmlformats.org/package/2006/relationships"><Relationship Id="rId4" Type="http://schemas.microsoft.com/office/2011/relationships/chartColorStyle" Target="colors36.xml"/><Relationship Id="rId3" Type="http://schemas.microsoft.com/office/2011/relationships/chartStyle" Target="style36.xml"/><Relationship Id="rId2" Type="http://schemas.openxmlformats.org/officeDocument/2006/relationships/themeOverride" Target="../theme/themeOverride73.xml"/><Relationship Id="rId1" Type="http://schemas.openxmlformats.org/officeDocument/2006/relationships/package" Target="../embeddings/Workbook75.xlsx"/></Relationships>
</file>

<file path=word/charts/_rels/chart73.xml.rels><?xml version="1.0" encoding="UTF-8" standalone="yes"?>
<Relationships xmlns="http://schemas.openxmlformats.org/package/2006/relationships"><Relationship Id="rId4" Type="http://schemas.microsoft.com/office/2011/relationships/chartColorStyle" Target="colors41.xml"/><Relationship Id="rId3" Type="http://schemas.microsoft.com/office/2011/relationships/chartStyle" Target="style41.xml"/><Relationship Id="rId2" Type="http://schemas.openxmlformats.org/officeDocument/2006/relationships/themeOverride" Target="../theme/themeOverride79.xml"/><Relationship Id="rId1" Type="http://schemas.openxmlformats.org/officeDocument/2006/relationships/package" Target="../embeddings/Workbook81.xlsx"/></Relationships>
</file>

<file path=word/charts/_rels/chart74.xml.rels><?xml version="1.0" encoding="UTF-8" standalone="yes"?>
<Relationships xmlns="http://schemas.openxmlformats.org/package/2006/relationships"><Relationship Id="rId4" Type="http://schemas.microsoft.com/office/2011/relationships/chartColorStyle" Target="colors32.xml"/><Relationship Id="rId3" Type="http://schemas.microsoft.com/office/2011/relationships/chartStyle" Target="style32.xml"/><Relationship Id="rId2" Type="http://schemas.openxmlformats.org/officeDocument/2006/relationships/themeOverride" Target="../theme/themeOverride69.xml"/><Relationship Id="rId1" Type="http://schemas.openxmlformats.org/officeDocument/2006/relationships/package" Target="../embeddings/Workbook71.xlsx"/></Relationships>
</file>

<file path=word/charts/_rels/chart75.xml.rels><?xml version="1.0" encoding="UTF-8" standalone="yes"?>
<Relationships xmlns="http://schemas.openxmlformats.org/package/2006/relationships"><Relationship Id="rId4" Type="http://schemas.microsoft.com/office/2011/relationships/chartColorStyle" Target="colors29.xml"/><Relationship Id="rId3" Type="http://schemas.microsoft.com/office/2011/relationships/chartStyle" Target="style29.xml"/><Relationship Id="rId2" Type="http://schemas.openxmlformats.org/officeDocument/2006/relationships/themeOverride" Target="../theme/themeOverride60.xml"/><Relationship Id="rId1" Type="http://schemas.openxmlformats.org/officeDocument/2006/relationships/package" Target="../embeddings/Workbook62.xlsx"/></Relationships>
</file>

<file path=word/charts/_rels/chart76.xml.rels><?xml version="1.0" encoding="UTF-8" standalone="yes"?>
<Relationships xmlns="http://schemas.openxmlformats.org/package/2006/relationships"><Relationship Id="rId4" Type="http://schemas.microsoft.com/office/2011/relationships/chartColorStyle" Target="colors30.xml"/><Relationship Id="rId3" Type="http://schemas.microsoft.com/office/2011/relationships/chartStyle" Target="style30.xml"/><Relationship Id="rId2" Type="http://schemas.openxmlformats.org/officeDocument/2006/relationships/themeOverride" Target="../theme/themeOverride62.xml"/><Relationship Id="rId1" Type="http://schemas.openxmlformats.org/officeDocument/2006/relationships/package" Target="../embeddings/Workbook64.xlsx"/></Relationships>
</file>

<file path=word/charts/_rels/chart77.xml.rels><?xml version="1.0" encoding="UTF-8" standalone="yes"?>
<Relationships xmlns="http://schemas.openxmlformats.org/package/2006/relationships"><Relationship Id="rId2" Type="http://schemas.openxmlformats.org/officeDocument/2006/relationships/themeOverride" Target="../theme/themeOverride57.xml"/><Relationship Id="rId1" Type="http://schemas.openxmlformats.org/officeDocument/2006/relationships/package" Target="../embeddings/Workbook59.xlsx"/></Relationships>
</file>

<file path=word/charts/_rels/chart78.xml.rels><?xml version="1.0" encoding="UTF-8" standalone="yes"?>
<Relationships xmlns="http://schemas.openxmlformats.org/package/2006/relationships"><Relationship Id="rId2" Type="http://schemas.openxmlformats.org/officeDocument/2006/relationships/themeOverride" Target="../theme/themeOverride54.xml"/><Relationship Id="rId1" Type="http://schemas.openxmlformats.org/officeDocument/2006/relationships/package" Target="../embeddings/Workbook56.xlsx"/></Relationships>
</file>

<file path=word/charts/_rels/chart79.xml.rels><?xml version="1.0" encoding="UTF-8" standalone="yes"?>
<Relationships xmlns="http://schemas.openxmlformats.org/package/2006/relationships"><Relationship Id="rId4" Type="http://schemas.microsoft.com/office/2011/relationships/chartColorStyle" Target="colors42.xml"/><Relationship Id="rId3" Type="http://schemas.microsoft.com/office/2011/relationships/chartStyle" Target="style42.xml"/><Relationship Id="rId2" Type="http://schemas.openxmlformats.org/officeDocument/2006/relationships/themeOverride" Target="../theme/themeOverride80.xml"/><Relationship Id="rId1" Type="http://schemas.openxmlformats.org/officeDocument/2006/relationships/package" Target="../embeddings/Workbook82.xlsx"/></Relationships>
</file>

<file path=word/charts/_rels/chart8.xml.rels><?xml version="1.0" encoding="UTF-8" standalone="yes"?>
<Relationships xmlns="http://schemas.openxmlformats.org/package/2006/relationships"><Relationship Id="rId2" Type="http://schemas.openxmlformats.org/officeDocument/2006/relationships/themeOverride" Target="../theme/themeOverride18.xml"/><Relationship Id="rId1" Type="http://schemas.openxmlformats.org/officeDocument/2006/relationships/package" Target="../embeddings/Workbook20.xlsx"/></Relationships>
</file>

<file path=word/charts/_rels/chart80.xml.rels><?xml version="1.0" encoding="UTF-8" standalone="yes"?>
<Relationships xmlns="http://schemas.openxmlformats.org/package/2006/relationships"><Relationship Id="rId4" Type="http://schemas.microsoft.com/office/2011/relationships/chartColorStyle" Target="colors43.xml"/><Relationship Id="rId3" Type="http://schemas.microsoft.com/office/2011/relationships/chartStyle" Target="style43.xml"/><Relationship Id="rId2" Type="http://schemas.openxmlformats.org/officeDocument/2006/relationships/themeOverride" Target="../theme/themeOverride81.xml"/><Relationship Id="rId1" Type="http://schemas.openxmlformats.org/officeDocument/2006/relationships/package" Target="../embeddings/Workbook83.xlsx"/></Relationships>
</file>

<file path=word/charts/_rels/chart81.xml.rels><?xml version="1.0" encoding="UTF-8" standalone="yes"?>
<Relationships xmlns="http://schemas.openxmlformats.org/package/2006/relationships"><Relationship Id="rId4" Type="http://schemas.microsoft.com/office/2011/relationships/chartColorStyle" Target="colors28.xml"/><Relationship Id="rId3" Type="http://schemas.microsoft.com/office/2011/relationships/chartStyle" Target="style28.xml"/><Relationship Id="rId2" Type="http://schemas.openxmlformats.org/officeDocument/2006/relationships/themeOverride" Target="../theme/themeOverride55.xml"/><Relationship Id="rId1" Type="http://schemas.openxmlformats.org/officeDocument/2006/relationships/package" Target="../embeddings/Workbook57.xlsx"/></Relationships>
</file>

<file path=word/charts/_rels/chart82.xml.rels><?xml version="1.0" encoding="UTF-8" standalone="yes"?>
<Relationships xmlns="http://schemas.openxmlformats.org/package/2006/relationships"><Relationship Id="rId4" Type="http://schemas.microsoft.com/office/2011/relationships/chartColorStyle" Target="colors34.xml"/><Relationship Id="rId3" Type="http://schemas.microsoft.com/office/2011/relationships/chartStyle" Target="style34.xml"/><Relationship Id="rId2" Type="http://schemas.openxmlformats.org/officeDocument/2006/relationships/themeOverride" Target="../theme/themeOverride71.xml"/><Relationship Id="rId1" Type="http://schemas.openxmlformats.org/officeDocument/2006/relationships/package" Target="../embeddings/Workbook73.xlsx"/></Relationships>
</file>

<file path=word/charts/_rels/chart83.xml.rels><?xml version="1.0" encoding="UTF-8" standalone="yes"?>
<Relationships xmlns="http://schemas.openxmlformats.org/package/2006/relationships"><Relationship Id="rId4" Type="http://schemas.microsoft.com/office/2011/relationships/chartColorStyle" Target="colors33.xml"/><Relationship Id="rId3" Type="http://schemas.microsoft.com/office/2011/relationships/chartStyle" Target="style33.xml"/><Relationship Id="rId2" Type="http://schemas.openxmlformats.org/officeDocument/2006/relationships/themeOverride" Target="../theme/themeOverride70.xml"/><Relationship Id="rId1" Type="http://schemas.openxmlformats.org/officeDocument/2006/relationships/package" Target="../embeddings/Workbook72.xlsx"/></Relationships>
</file>

<file path=word/charts/_rels/chart84.xml.rels><?xml version="1.0" encoding="UTF-8" standalone="yes"?>
<Relationships xmlns="http://schemas.openxmlformats.org/package/2006/relationships"><Relationship Id="rId2" Type="http://schemas.openxmlformats.org/officeDocument/2006/relationships/themeOverride" Target="../theme/themeOverride58.xml"/><Relationship Id="rId1" Type="http://schemas.openxmlformats.org/officeDocument/2006/relationships/package" Target="../embeddings/Workbook60.xlsx"/></Relationships>
</file>

<file path=word/charts/_rels/chart85.xml.rels><?xml version="1.0" encoding="UTF-8" standalone="yes"?>
<Relationships xmlns="http://schemas.openxmlformats.org/package/2006/relationships"><Relationship Id="rId2" Type="http://schemas.openxmlformats.org/officeDocument/2006/relationships/themeOverride" Target="../theme/themeOverride59.xml"/><Relationship Id="rId1" Type="http://schemas.openxmlformats.org/officeDocument/2006/relationships/package" Target="../embeddings/Workbook61.xlsx"/></Relationships>
</file>

<file path=word/charts/_rels/chart86.xml.rels><?xml version="1.0" encoding="UTF-8" standalone="yes"?>
<Relationships xmlns="http://schemas.openxmlformats.org/package/2006/relationships"><Relationship Id="rId4" Type="http://schemas.microsoft.com/office/2011/relationships/chartColorStyle" Target="colors35.xml"/><Relationship Id="rId3" Type="http://schemas.microsoft.com/office/2011/relationships/chartStyle" Target="style35.xml"/><Relationship Id="rId2" Type="http://schemas.openxmlformats.org/officeDocument/2006/relationships/themeOverride" Target="../theme/themeOverride72.xml"/><Relationship Id="rId1" Type="http://schemas.openxmlformats.org/officeDocument/2006/relationships/package" Target="../embeddings/Workbook74.xlsx"/></Relationships>
</file>

<file path=word/charts/_rels/chart87.xml.rels><?xml version="1.0" encoding="UTF-8" standalone="yes"?>
<Relationships xmlns="http://schemas.openxmlformats.org/package/2006/relationships"><Relationship Id="rId4" Type="http://schemas.microsoft.com/office/2011/relationships/chartColorStyle" Target="colors38.xml"/><Relationship Id="rId3" Type="http://schemas.microsoft.com/office/2011/relationships/chartStyle" Target="style38.xml"/><Relationship Id="rId2" Type="http://schemas.openxmlformats.org/officeDocument/2006/relationships/themeOverride" Target="../theme/themeOverride75.xml"/><Relationship Id="rId1" Type="http://schemas.openxmlformats.org/officeDocument/2006/relationships/package" Target="../embeddings/Workbook77.xlsx"/></Relationships>
</file>

<file path=word/charts/_rels/chart88.xml.rels><?xml version="1.0" encoding="UTF-8" standalone="yes"?>
<Relationships xmlns="http://schemas.openxmlformats.org/package/2006/relationships"><Relationship Id="rId4" Type="http://schemas.microsoft.com/office/2011/relationships/chartColorStyle" Target="colors39.xml"/><Relationship Id="rId3" Type="http://schemas.microsoft.com/office/2011/relationships/chartStyle" Target="style39.xml"/><Relationship Id="rId2" Type="http://schemas.openxmlformats.org/officeDocument/2006/relationships/themeOverride" Target="../theme/themeOverride76.xml"/><Relationship Id="rId1" Type="http://schemas.openxmlformats.org/officeDocument/2006/relationships/package" Target="../embeddings/Workbook78.xlsx"/></Relationships>
</file>

<file path=word/charts/_rels/chart89.xml.rels><?xml version="1.0" encoding="UTF-8" standalone="yes"?>
<Relationships xmlns="http://schemas.openxmlformats.org/package/2006/relationships"><Relationship Id="rId2" Type="http://schemas.openxmlformats.org/officeDocument/2006/relationships/themeOverride" Target="../theme/themeOverride78.xml"/><Relationship Id="rId1" Type="http://schemas.openxmlformats.org/officeDocument/2006/relationships/package" Target="../embeddings/Workbook80.xlsx"/></Relationships>
</file>

<file path=word/charts/_rels/chart9.xml.rels><?xml version="1.0" encoding="UTF-8" standalone="yes"?>
<Relationships xmlns="http://schemas.openxmlformats.org/package/2006/relationships"><Relationship Id="rId2" Type="http://schemas.openxmlformats.org/officeDocument/2006/relationships/themeOverride" Target="../theme/themeOverride9.xml"/><Relationship Id="rId1" Type="http://schemas.openxmlformats.org/officeDocument/2006/relationships/package" Target="../embeddings/Workbook10.xlsx"/></Relationships>
</file>

<file path=word/charts/_rels/chart90.xml.rels><?xml version="1.0" encoding="UTF-8" standalone="yes"?>
<Relationships xmlns="http://schemas.openxmlformats.org/package/2006/relationships"><Relationship Id="rId4" Type="http://schemas.microsoft.com/office/2011/relationships/chartColorStyle" Target="colors44.xml"/><Relationship Id="rId3" Type="http://schemas.microsoft.com/office/2011/relationships/chartStyle" Target="style44.xml"/><Relationship Id="rId2" Type="http://schemas.openxmlformats.org/officeDocument/2006/relationships/themeOverride" Target="../theme/themeOverride85.xml"/><Relationship Id="rId1" Type="http://schemas.openxmlformats.org/officeDocument/2006/relationships/package" Target="../embeddings/Workbook87.xlsx"/></Relationships>
</file>

<file path=word/charts/_rels/chart91.xml.rels><?xml version="1.0" encoding="UTF-8" standalone="yes"?>
<Relationships xmlns="http://schemas.openxmlformats.org/package/2006/relationships"><Relationship Id="rId2" Type="http://schemas.openxmlformats.org/officeDocument/2006/relationships/themeOverride" Target="../theme/themeOverride86.xml"/><Relationship Id="rId1" Type="http://schemas.openxmlformats.org/officeDocument/2006/relationships/package" Target="../embeddings/Workbook88.xlsx"/></Relationships>
</file>

<file path=word/charts/_rels/chart92.xml.rels><?xml version="1.0" encoding="UTF-8" standalone="yes"?>
<Relationships xmlns="http://schemas.openxmlformats.org/package/2006/relationships"><Relationship Id="rId4" Type="http://schemas.microsoft.com/office/2011/relationships/chartColorStyle" Target="colors45.xml"/><Relationship Id="rId3" Type="http://schemas.microsoft.com/office/2011/relationships/chartStyle" Target="style45.xml"/><Relationship Id="rId2" Type="http://schemas.openxmlformats.org/officeDocument/2006/relationships/themeOverride" Target="../theme/themeOverride87.xml"/><Relationship Id="rId1" Type="http://schemas.openxmlformats.org/officeDocument/2006/relationships/package" Target="../embeddings/Workbook89.xlsx"/></Relationships>
</file>

<file path=word/charts/_rels/chart93.xml.rels><?xml version="1.0" encoding="UTF-8" standalone="yes"?>
<Relationships xmlns="http://schemas.openxmlformats.org/package/2006/relationships"><Relationship Id="rId4" Type="http://schemas.microsoft.com/office/2011/relationships/chartColorStyle" Target="colors47.xml"/><Relationship Id="rId3" Type="http://schemas.microsoft.com/office/2011/relationships/chartStyle" Target="style47.xml"/><Relationship Id="rId2" Type="http://schemas.openxmlformats.org/officeDocument/2006/relationships/themeOverride" Target="../theme/themeOverride89.xml"/><Relationship Id="rId1" Type="http://schemas.openxmlformats.org/officeDocument/2006/relationships/package" Target="../embeddings/Workbook91.xlsx"/></Relationships>
</file>

<file path=word/charts/_rels/chart94.xml.rels><?xml version="1.0" encoding="UTF-8" standalone="yes"?>
<Relationships xmlns="http://schemas.openxmlformats.org/package/2006/relationships"><Relationship Id="rId2" Type="http://schemas.openxmlformats.org/officeDocument/2006/relationships/themeOverride" Target="../theme/themeOverride92.xml"/><Relationship Id="rId1" Type="http://schemas.openxmlformats.org/officeDocument/2006/relationships/package" Target="../embeddings/Workbook94.xlsx"/></Relationships>
</file>

<file path=word/charts/_rels/chart95.xml.rels><?xml version="1.0" encoding="UTF-8" standalone="yes"?>
<Relationships xmlns="http://schemas.openxmlformats.org/package/2006/relationships"><Relationship Id="rId4" Type="http://schemas.microsoft.com/office/2011/relationships/chartColorStyle" Target="colors46.xml"/><Relationship Id="rId3" Type="http://schemas.microsoft.com/office/2011/relationships/chartStyle" Target="style46.xml"/><Relationship Id="rId2" Type="http://schemas.openxmlformats.org/officeDocument/2006/relationships/themeOverride" Target="../theme/themeOverride88.xml"/><Relationship Id="rId1" Type="http://schemas.openxmlformats.org/officeDocument/2006/relationships/package" Target="../embeddings/Workbook90.xlsx"/></Relationships>
</file>

<file path=word/charts/_rels/chart96.xml.rels><?xml version="1.0" encoding="UTF-8" standalone="yes"?>
<Relationships xmlns="http://schemas.openxmlformats.org/package/2006/relationships"><Relationship Id="rId2" Type="http://schemas.openxmlformats.org/officeDocument/2006/relationships/themeOverride" Target="../theme/themeOverride90.xml"/><Relationship Id="rId1" Type="http://schemas.openxmlformats.org/officeDocument/2006/relationships/package" Target="../embeddings/Workbook92.xlsx"/></Relationships>
</file>

<file path=word/charts/_rels/chart97.xml.rels><?xml version="1.0" encoding="UTF-8" standalone="yes"?>
<Relationships xmlns="http://schemas.openxmlformats.org/package/2006/relationships"><Relationship Id="rId4" Type="http://schemas.microsoft.com/office/2011/relationships/chartColorStyle" Target="colors48.xml"/><Relationship Id="rId3" Type="http://schemas.microsoft.com/office/2011/relationships/chartStyle" Target="style48.xml"/><Relationship Id="rId2" Type="http://schemas.openxmlformats.org/officeDocument/2006/relationships/themeOverride" Target="../theme/themeOverride91.xml"/><Relationship Id="rId1" Type="http://schemas.openxmlformats.org/officeDocument/2006/relationships/package" Target="../embeddings/Workbook9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dk1">
                  <a:lumMod val="75000"/>
                  <a:lumOff val="25000"/>
                </a:schemeClr>
              </a:solidFill>
              <a:latin typeface="+mn-lt"/>
              <a:ea typeface="+mn-ea"/>
              <a:cs typeface="+mn-cs"/>
            </a:defRPr>
          </a:pPr>
        </a:p>
      </c:txPr>
    </c:title>
    <c:autoTitleDeleted val="0"/>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pie3DChart>
        <c:varyColors val="1"/>
        <c:ser>
          <c:idx val="0"/>
          <c:order val="0"/>
          <c:tx>
            <c:strRef>
              <c:f>Sheet1!$B$1</c:f>
              <c:strCache>
                <c:ptCount val="1"/>
                <c:pt idx="0">
                  <c:v>毕业生性别分布</c:v>
                </c:pt>
              </c:strCache>
            </c:strRef>
          </c:tx>
          <c:explosion val="0"/>
          <c:dPt>
            <c:idx val="0"/>
            <c:bubble3D val="0"/>
            <c:spPr>
              <a:solidFill>
                <a:schemeClr val="accent1"/>
              </a:solidFill>
              <a:ln w="25400">
                <a:solidFill>
                  <a:schemeClr val="lt1"/>
                </a:solidFill>
              </a:ln>
              <a:effectLst/>
            </c:spPr>
          </c:dPt>
          <c:dPt>
            <c:idx val="1"/>
            <c:bubble3D val="0"/>
            <c:spPr>
              <a:solidFill>
                <a:schemeClr val="tx2">
                  <a:lumMod val="40000"/>
                  <a:lumOff val="60000"/>
                </a:schemeClr>
              </a:solidFill>
              <a:ln w="25400">
                <a:solidFill>
                  <a:schemeClr val="lt1"/>
                </a:solidFill>
              </a:ln>
              <a:effectLst/>
            </c:spPr>
          </c:dPt>
          <c:dLbls>
            <c:dLbl>
              <c:idx val="0"/>
              <c:layout>
                <c:manualLayout>
                  <c:x val="-0.000269439575950526"/>
                  <c:y val="-0.351405119821367"/>
                </c:manualLayout>
              </c:layout>
              <c:tx>
                <c:rich>
                  <a:bodyPr rot="0" spcFirstLastPara="0" vertOverflow="ellipsis" vert="horz" wrap="square" lIns="38100" tIns="19050" rIns="38100" bIns="19050" anchor="ctr" anchorCtr="1"/>
                  <a:lstStyle/>
                  <a:p>
                    <a:pPr defTabSz="914400">
                      <a:defRPr lang="zh-CN" sz="1000" b="1" i="0" u="none" strike="noStrike" kern="1200" baseline="0">
                        <a:solidFill>
                          <a:schemeClr val="tx1">
                            <a:lumMod val="75000"/>
                            <a:lumOff val="25000"/>
                          </a:schemeClr>
                        </a:solidFill>
                        <a:latin typeface="+mn-lt"/>
                        <a:ea typeface="+mn-ea"/>
                        <a:cs typeface="+mn-cs"/>
                      </a:defRPr>
                    </a:pPr>
                    <a:r>
                      <a:rPr lang="zh-CN" altLang="en-US" b="1"/>
                      <a:t>男生：</a:t>
                    </a:r>
                    <a:r>
                      <a:rPr lang="en-US" altLang="zh-CN" b="1"/>
                      <a:t>2246</a:t>
                    </a:r>
                    <a:r>
                      <a:rPr lang="zh-CN" altLang="en-US" b="1"/>
                      <a:t>人</a:t>
                    </a:r>
                    <a:endParaRPr lang="zh-CN" altLang="en-US" b="1"/>
                  </a:p>
                  <a:p>
                    <a:pPr defTabSz="914400">
                      <a:defRPr lang="zh-CN" sz="1000" b="1" i="0" u="none" strike="noStrike" kern="1200" baseline="0">
                        <a:solidFill>
                          <a:schemeClr val="tx1">
                            <a:lumMod val="75000"/>
                            <a:lumOff val="25000"/>
                          </a:schemeClr>
                        </a:solidFill>
                        <a:latin typeface="+mn-lt"/>
                        <a:ea typeface="+mn-ea"/>
                        <a:cs typeface="+mn-cs"/>
                      </a:defRPr>
                    </a:pPr>
                    <a:r>
                      <a:rPr lang="zh-CN" altLang="en-US" b="1"/>
                      <a:t>占</a:t>
                    </a:r>
                    <a:r>
                      <a:rPr lang="en-US" altLang="zh-CN" b="1"/>
                      <a:t>52%</a:t>
                    </a:r>
                    <a:endParaRPr lang="en-US" altLang="zh-CN" b="1"/>
                  </a:p>
                </c:rich>
              </c:tx>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chemeClr val="tx1">
                          <a:lumMod val="75000"/>
                          <a:lumOff val="25000"/>
                        </a:schemeClr>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00048320850447"/>
                      <c:h val="0.140883977900552"/>
                    </c:manualLayout>
                  </c15:layout>
                </c:ext>
              </c:extLst>
            </c:dLbl>
            <c:dLbl>
              <c:idx val="1"/>
              <c:layout>
                <c:manualLayout>
                  <c:x val="0.00863422926989208"/>
                  <c:y val="-0.147450057266421"/>
                </c:manualLayout>
              </c:layout>
              <c:tx>
                <c:rich>
                  <a:bodyPr rot="0" spcFirstLastPara="0" vertOverflow="ellipsis" vert="horz" wrap="square" lIns="38100" tIns="19050" rIns="38100" bIns="19050" anchor="ctr" anchorCtr="1"/>
                  <a:lstStyle/>
                  <a:p>
                    <a:pPr defTabSz="914400">
                      <a:defRPr lang="zh-CN" sz="1000" b="1" i="0" u="none" strike="noStrike" kern="1200" baseline="0">
                        <a:solidFill>
                          <a:schemeClr val="tx1">
                            <a:lumMod val="75000"/>
                            <a:lumOff val="25000"/>
                          </a:schemeClr>
                        </a:solidFill>
                        <a:latin typeface="+mn-lt"/>
                        <a:ea typeface="+mn-ea"/>
                        <a:cs typeface="+mn-cs"/>
                      </a:defRPr>
                    </a:pPr>
                    <a:r>
                      <a:rPr lang="zh-CN" altLang="en-US" b="1"/>
                      <a:t>女生：</a:t>
                    </a:r>
                    <a:r>
                      <a:rPr lang="en-US" altLang="zh-CN" b="1"/>
                      <a:t>2110 </a:t>
                    </a:r>
                    <a:r>
                      <a:rPr lang="zh-CN" altLang="en-US" b="1"/>
                      <a:t>人</a:t>
                    </a:r>
                    <a:endParaRPr lang="zh-CN" altLang="en-US" b="1"/>
                  </a:p>
                  <a:p>
                    <a:pPr defTabSz="914400">
                      <a:defRPr lang="zh-CN" sz="1000" b="1" i="0" u="none" strike="noStrike" kern="1200" baseline="0">
                        <a:solidFill>
                          <a:schemeClr val="tx1">
                            <a:lumMod val="75000"/>
                            <a:lumOff val="25000"/>
                          </a:schemeClr>
                        </a:solidFill>
                        <a:latin typeface="+mn-lt"/>
                        <a:ea typeface="+mn-ea"/>
                        <a:cs typeface="+mn-cs"/>
                      </a:defRPr>
                    </a:pPr>
                    <a:r>
                      <a:rPr lang="zh-CN" altLang="en-US" b="1"/>
                      <a:t>占</a:t>
                    </a:r>
                    <a:r>
                      <a:rPr lang="en-US" altLang="zh-CN" b="1"/>
                      <a:t>48%</a:t>
                    </a:r>
                    <a:endParaRPr lang="en-US" altLang="zh-CN" b="1"/>
                  </a:p>
                </c:rich>
              </c:tx>
              <c:numFmt formatCode="General" sourceLinked="1"/>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chemeClr val="tx1">
                          <a:lumMod val="75000"/>
                          <a:lumOff val="25000"/>
                        </a:schemeClr>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81928001932834"/>
                      <c:h val="0.15129621759456"/>
                    </c:manualLayout>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男生：2246</c:v>
                </c:pt>
                <c:pt idx="1">
                  <c:v>女生：2110</c:v>
                </c:pt>
              </c:strCache>
            </c:strRef>
          </c:cat>
          <c:val>
            <c:numRef>
              <c:f>Sheet1!$B$2:$B$3</c:f>
              <c:numCache>
                <c:formatCode>0.00%</c:formatCode>
                <c:ptCount val="2"/>
                <c:pt idx="0">
                  <c:v>0.5156</c:v>
                </c:pt>
                <c:pt idx="1">
                  <c:v>0.4844</c:v>
                </c:pt>
              </c:numCache>
            </c:numRef>
          </c:val>
        </c:ser>
        <c:dLbls>
          <c:showLegendKey val="0"/>
          <c:showVal val="0"/>
          <c:showCatName val="1"/>
          <c:showSerName val="0"/>
          <c:showPercent val="1"/>
          <c:showBubbleSize val="0"/>
        </c:dLbls>
      </c:pie3DChart>
      <c:spPr>
        <a:noFill/>
        <a:ln>
          <a:noFill/>
        </a:ln>
        <a:effectLst/>
      </c:spPr>
    </c:plotArea>
    <c:legend>
      <c:legendPos val="t"/>
      <c:layout>
        <c:manualLayout>
          <c:xMode val="edge"/>
          <c:yMode val="edge"/>
          <c:x val="0.358903116694854"/>
          <c:y val="0.134296642583935"/>
          <c:w val="0.308407827977772"/>
          <c:h val="0.0909477263068423"/>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Sheet1!$B$1</c:f>
              <c:strCache>
                <c:ptCount val="1"/>
                <c:pt idx="0">
                  <c:v>较多</c:v>
                </c:pt>
              </c:strCache>
            </c:strRef>
          </c:tx>
          <c:spPr>
            <a:solidFill>
              <a:srgbClr val="0F6FC6"/>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 lastClr="FFFFFF"/>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ysClr val="windowText" lastClr="000000">
                          <a:lumMod val="35000"/>
                          <a:lumOff val="65000"/>
                        </a:sysClr>
                      </a:solidFill>
                      <a:round/>
                    </a:ln>
                    <a:effectLst/>
                  </c:spPr>
                </c15:leaderLines>
              </c:ext>
            </c:extLst>
          </c:dLbls>
          <c:cat>
            <c:strRef>
              <c:f>Sheet1!$A$2:$A$3</c:f>
              <c:strCache>
                <c:ptCount val="2"/>
                <c:pt idx="0">
                  <c:v>全国高校2022届本科毕业生</c:v>
                </c:pt>
                <c:pt idx="1">
                  <c:v>本校2022届本科毕业生</c:v>
                </c:pt>
              </c:strCache>
            </c:strRef>
          </c:cat>
          <c:val>
            <c:numRef>
              <c:f>Sheet1!$B$2:$B$3</c:f>
              <c:numCache>
                <c:formatCode>0.00%</c:formatCode>
                <c:ptCount val="2"/>
                <c:pt idx="0">
                  <c:v>0.5007</c:v>
                </c:pt>
                <c:pt idx="1">
                  <c:v>0.3952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Sheet1!$C$1</c:f>
              <c:strCache>
                <c:ptCount val="1"/>
                <c:pt idx="0">
                  <c:v>一般</c:v>
                </c:pt>
              </c:strCache>
            </c:strRef>
          </c:tx>
          <c:spPr>
            <a:solidFill>
              <a:srgbClr val="009DD9"/>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 lastClr="FFFFFF"/>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ysClr val="windowText" lastClr="000000">
                          <a:lumMod val="35000"/>
                          <a:lumOff val="65000"/>
                        </a:sysClr>
                      </a:solidFill>
                      <a:round/>
                    </a:ln>
                    <a:effectLst/>
                  </c:spPr>
                </c15:leaderLines>
              </c:ext>
            </c:extLst>
          </c:dLbls>
          <c:cat>
            <c:strRef>
              <c:f>Sheet1!$A$2:$A$3</c:f>
              <c:strCache>
                <c:ptCount val="2"/>
                <c:pt idx="0">
                  <c:v>全国高校2022届本科毕业生</c:v>
                </c:pt>
                <c:pt idx="1">
                  <c:v>本校2022届本科毕业生</c:v>
                </c:pt>
              </c:strCache>
            </c:strRef>
          </c:cat>
          <c:val>
            <c:numRef>
              <c:f>Sheet1!$C$2:$C$3</c:f>
              <c:numCache>
                <c:formatCode>0.00%</c:formatCode>
                <c:ptCount val="2"/>
                <c:pt idx="0">
                  <c:v>0.3621</c:v>
                </c:pt>
                <c:pt idx="1">
                  <c:v>0.379</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Sheet1!$D$1</c:f>
              <c:strCache>
                <c:ptCount val="1"/>
                <c:pt idx="0">
                  <c:v>较少</c:v>
                </c:pt>
              </c:strCache>
            </c:strRef>
          </c:tx>
          <c:spPr>
            <a:solidFill>
              <a:srgbClr val="DCE6F2"/>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 lastClr="FFFFFF"/>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ysClr val="windowText" lastClr="000000">
                          <a:lumMod val="35000"/>
                          <a:lumOff val="65000"/>
                        </a:sysClr>
                      </a:solidFill>
                      <a:round/>
                    </a:ln>
                    <a:effectLst/>
                  </c:spPr>
                </c15:leaderLines>
              </c:ext>
            </c:extLst>
          </c:dLbls>
          <c:cat>
            <c:strRef>
              <c:f>Sheet1!$A$2:$A$3</c:f>
              <c:strCache>
                <c:ptCount val="2"/>
                <c:pt idx="0">
                  <c:v>全国高校2022届本科毕业生</c:v>
                </c:pt>
                <c:pt idx="1">
                  <c:v>本校2022届本科毕业生</c:v>
                </c:pt>
              </c:strCache>
            </c:strRef>
          </c:cat>
          <c:val>
            <c:numRef>
              <c:f>Sheet1!$D$2:$D$3</c:f>
              <c:numCache>
                <c:formatCode>0.00%</c:formatCode>
                <c:ptCount val="2"/>
                <c:pt idx="0">
                  <c:v>0.1371</c:v>
                </c:pt>
                <c:pt idx="1">
                  <c:v>0.2258</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1"/>
          <c:showCatName val="0"/>
          <c:showSerName val="0"/>
          <c:showPercent val="0"/>
          <c:showBubbleSize val="0"/>
        </c:dLbls>
        <c:gapWidth val="150"/>
        <c:overlap val="100"/>
        <c:axId val="675901232"/>
        <c:axId val="675896880"/>
      </c:barChart>
      <c:catAx>
        <c:axId val="675901232"/>
        <c:scaling>
          <c:orientation val="minMax"/>
        </c:scaling>
        <c:delete val="0"/>
        <c:axPos val="l"/>
        <c:numFmt formatCode="General" sourceLinked="1"/>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675896880"/>
        <c:crosses val="autoZero"/>
        <c:auto val="1"/>
        <c:lblAlgn val="ctr"/>
        <c:lblOffset val="100"/>
        <c:noMultiLvlLbl val="0"/>
      </c:catAx>
      <c:valAx>
        <c:axId val="675896880"/>
        <c:scaling>
          <c:orientation val="minMax"/>
          <c:min val="0"/>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675901232"/>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legend>
    <c:plotVisOnly val="1"/>
    <c:dispBlanksAs val="gap"/>
    <c:showDLblsOverMax val="0"/>
  </c:chart>
  <c:spPr>
    <a:solidFill>
      <a:sysClr val="window" lastClr="FFFFFF"/>
    </a:solidFill>
    <a:ln w="9525" cap="flat" cmpd="sng" algn="ctr">
      <a:noFill/>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7966055348054"/>
          <c:y val="0.150243393795076"/>
          <c:w val="0.693229241867155"/>
          <c:h val="0.799387818703675"/>
        </c:manualLayout>
      </c:layout>
      <c:barChart>
        <c:barDir val="bar"/>
        <c:grouping val="percentStacked"/>
        <c:varyColors val="0"/>
        <c:ser>
          <c:idx val="0"/>
          <c:order val="0"/>
          <c:tx>
            <c:strRef>
              <c:f>Sheet1!$B$1</c:f>
              <c:strCache>
                <c:ptCount val="1"/>
                <c:pt idx="0">
                  <c:v>较多</c:v>
                </c:pt>
              </c:strCache>
            </c:strRef>
          </c:tx>
          <c:spPr>
            <a:solidFill>
              <a:srgbClr val="0F6FC6"/>
            </a:solidFill>
            <a:ln>
              <a:noFill/>
            </a:ln>
          </c:spPr>
          <c:invertIfNegative val="1"/>
          <c:dLbls>
            <c:dLbl>
              <c:idx val="0"/>
              <c:delete val="1"/>
            </c:dLbl>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ysClr val="window" lastClr="FFFFFF"/>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Sheet1!$A$2:$A$8</c:f>
              <c:strCache>
                <c:ptCount val="7"/>
                <c:pt idx="0">
                  <c:v>*海事学院</c:v>
                </c:pt>
                <c:pt idx="1">
                  <c:v>健康科学学院</c:v>
                </c:pt>
                <c:pt idx="2">
                  <c:v>信息工程学院</c:v>
                </c:pt>
                <c:pt idx="3">
                  <c:v>机电工程学院</c:v>
                </c:pt>
                <c:pt idx="4">
                  <c:v>城建学院</c:v>
                </c:pt>
                <c:pt idx="5">
                  <c:v>国际护理学院</c:v>
                </c:pt>
                <c:pt idx="6">
                  <c:v>化学与材料工程学院</c:v>
                </c:pt>
              </c:strCache>
            </c:strRef>
          </c:cat>
          <c:val>
            <c:numRef>
              <c:f>Sheet1!$B$2:$B$8</c:f>
              <c:numCache>
                <c:formatCode>0.00%</c:formatCode>
                <c:ptCount val="7"/>
                <c:pt idx="0">
                  <c:v>0</c:v>
                </c:pt>
                <c:pt idx="1">
                  <c:v>0.1667</c:v>
                </c:pt>
                <c:pt idx="2">
                  <c:v>0.25</c:v>
                </c:pt>
                <c:pt idx="3">
                  <c:v>0.3438</c:v>
                </c:pt>
                <c:pt idx="4">
                  <c:v>0.36</c:v>
                </c:pt>
                <c:pt idx="5">
                  <c:v>0.6</c:v>
                </c:pt>
                <c:pt idx="6">
                  <c:v>0.8333</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Sheet1!$C$1</c:f>
              <c:strCache>
                <c:ptCount val="1"/>
                <c:pt idx="0">
                  <c:v>一般</c:v>
                </c:pt>
              </c:strCache>
            </c:strRef>
          </c:tx>
          <c:spPr>
            <a:solidFill>
              <a:srgbClr val="009DD9"/>
            </a:solidFill>
            <a:ln>
              <a:noFill/>
            </a:ln>
          </c:spPr>
          <c:invertIfNegative val="1"/>
          <c:dLbls>
            <c:dLbl>
              <c:idx val="0"/>
              <c:delete val="1"/>
            </c:dLbl>
            <c:dLbl>
              <c:idx val="6"/>
              <c:layout>
                <c:manualLayout>
                  <c:x val="-0.0215827338129496"/>
                  <c:y val="-2.0370135052832e-1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ysClr val="window" lastClr="FFFFFF"/>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Sheet1!$A$2:$A$8</c:f>
              <c:strCache>
                <c:ptCount val="7"/>
                <c:pt idx="0">
                  <c:v>*海事学院</c:v>
                </c:pt>
                <c:pt idx="1">
                  <c:v>健康科学学院</c:v>
                </c:pt>
                <c:pt idx="2">
                  <c:v>信息工程学院</c:v>
                </c:pt>
                <c:pt idx="3">
                  <c:v>机电工程学院</c:v>
                </c:pt>
                <c:pt idx="4">
                  <c:v>城建学院</c:v>
                </c:pt>
                <c:pt idx="5">
                  <c:v>国际护理学院</c:v>
                </c:pt>
                <c:pt idx="6">
                  <c:v>化学与材料工程学院</c:v>
                </c:pt>
              </c:strCache>
            </c:strRef>
          </c:cat>
          <c:val>
            <c:numRef>
              <c:f>Sheet1!$C$2:$C$8</c:f>
              <c:numCache>
                <c:formatCode>0.00%</c:formatCode>
                <c:ptCount val="7"/>
                <c:pt idx="0">
                  <c:v>0</c:v>
                </c:pt>
                <c:pt idx="1">
                  <c:v>0.3333</c:v>
                </c:pt>
                <c:pt idx="2">
                  <c:v>0.5</c:v>
                </c:pt>
                <c:pt idx="3">
                  <c:v>0.4688</c:v>
                </c:pt>
                <c:pt idx="4">
                  <c:v>0.44</c:v>
                </c:pt>
                <c:pt idx="5">
                  <c:v>0.4</c:v>
                </c:pt>
                <c:pt idx="6">
                  <c:v>0.0556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Sheet1!$D$1</c:f>
              <c:strCache>
                <c:ptCount val="1"/>
                <c:pt idx="0">
                  <c:v>较少</c:v>
                </c:pt>
              </c:strCache>
            </c:strRef>
          </c:tx>
          <c:spPr>
            <a:solidFill>
              <a:srgbClr val="0BD0D9"/>
            </a:solidFill>
            <a:ln>
              <a:noFill/>
            </a:ln>
          </c:spPr>
          <c:invertIfNegative val="1"/>
          <c:dLbls>
            <c:dLbl>
              <c:idx val="5"/>
              <c:delete val="1"/>
            </c:dLbl>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ysClr val="window" lastClr="FFFFFF"/>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Sheet1!$A$2:$A$8</c:f>
              <c:strCache>
                <c:ptCount val="7"/>
                <c:pt idx="0">
                  <c:v>*海事学院</c:v>
                </c:pt>
                <c:pt idx="1">
                  <c:v>健康科学学院</c:v>
                </c:pt>
                <c:pt idx="2">
                  <c:v>信息工程学院</c:v>
                </c:pt>
                <c:pt idx="3">
                  <c:v>机电工程学院</c:v>
                </c:pt>
                <c:pt idx="4">
                  <c:v>城建学院</c:v>
                </c:pt>
                <c:pt idx="5">
                  <c:v>国际护理学院</c:v>
                </c:pt>
                <c:pt idx="6">
                  <c:v>化学与材料工程学院</c:v>
                </c:pt>
              </c:strCache>
            </c:strRef>
          </c:cat>
          <c:val>
            <c:numRef>
              <c:f>Sheet1!$D$2:$D$8</c:f>
              <c:numCache>
                <c:formatCode>0.00%</c:formatCode>
                <c:ptCount val="7"/>
                <c:pt idx="0">
                  <c:v>1</c:v>
                </c:pt>
                <c:pt idx="1">
                  <c:v>0.5</c:v>
                </c:pt>
                <c:pt idx="2">
                  <c:v>0.25</c:v>
                </c:pt>
                <c:pt idx="3">
                  <c:v>0.1875</c:v>
                </c:pt>
                <c:pt idx="4">
                  <c:v>0.2</c:v>
                </c:pt>
                <c:pt idx="5">
                  <c:v>0</c:v>
                </c:pt>
                <c:pt idx="6">
                  <c:v>0.1111</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1"/>
          <c:showCatName val="0"/>
          <c:showSerName val="0"/>
          <c:showPercent val="0"/>
          <c:showBubbleSize val="0"/>
        </c:dLbls>
        <c:gapWidth val="100"/>
        <c:overlap val="100"/>
        <c:axId val="608997592"/>
        <c:axId val="608997984"/>
      </c:barChart>
      <c:catAx>
        <c:axId val="608997592"/>
        <c:scaling>
          <c:orientation val="minMax"/>
        </c:scaling>
        <c:delete val="0"/>
        <c:axPos val="l"/>
        <c:numFmt formatCode="General" sourceLinked="1"/>
        <c:majorTickMark val="none"/>
        <c:minorTickMark val="none"/>
        <c:tickLblPos val="nextTo"/>
        <c:spPr>
          <a:noFill/>
          <a:ln w="9525" cap="flat" cmpd="sng" algn="ctr">
            <a:solidFill>
              <a:sysClr val="windowText" lastClr="000000">
                <a:lumMod val="15000"/>
                <a:lumOff val="85000"/>
              </a:sysClr>
            </a:solidFill>
            <a:prstDash val="solid"/>
            <a:round/>
          </a:ln>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608997984"/>
        <c:crosses val="autoZero"/>
        <c:auto val="1"/>
        <c:lblAlgn val="ctr"/>
        <c:lblOffset val="100"/>
        <c:noMultiLvlLbl val="0"/>
      </c:catAx>
      <c:valAx>
        <c:axId val="608997984"/>
        <c:scaling>
          <c:orientation val="minMax"/>
          <c:min val="0"/>
        </c:scaling>
        <c:delete val="0"/>
        <c:axPos val="b"/>
        <c:numFmt formatCode="0%" sourceLinked="1"/>
        <c:majorTickMark val="none"/>
        <c:minorTickMark val="none"/>
        <c:tickLblPos val="nextTo"/>
        <c:spPr>
          <a:noFill/>
          <a:ln w="9525" cap="flat" cmpd="sng" algn="ctr">
            <a:noFill/>
            <a:prstDash val="solid"/>
            <a:round/>
          </a:ln>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608997592"/>
        <c:crosses val="autoZero"/>
        <c:crossBetween val="between"/>
      </c:valAx>
      <c:spPr>
        <a:noFill/>
        <a:ln>
          <a:noFill/>
        </a:ln>
      </c:spPr>
    </c:plotArea>
    <c:legend>
      <c:legendPos val="t"/>
      <c:layout/>
      <c:overlay val="0"/>
      <c:spPr>
        <a:noFill/>
        <a:ln>
          <a:noFill/>
        </a:ln>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gap"/>
    <c:showDLblsOverMax val="0"/>
  </c:chart>
  <c:spPr>
    <a:solidFill>
      <a:sysClr val="window" lastClr="FFFFFF"/>
    </a:solidFill>
    <a:ln w="9525" cap="flat" cmpd="sng" algn="ctr">
      <a:solidFill>
        <a:sysClr val="window" lastClr="FFFFFF"/>
      </a:solidFill>
      <a:prstDash val="solid"/>
      <a:round/>
    </a:ln>
  </c:spPr>
  <c:txPr>
    <a:bodyPr/>
    <a:lstStyle/>
    <a:p>
      <a:pPr>
        <a:defRPr lang="zh-CN">
          <a:solidFill>
            <a:sysClr val="windowText" lastClr="000000"/>
          </a:solidFill>
        </a:defRPr>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6143758345996"/>
          <c:y val="0.0163854801168723"/>
          <c:w val="0.399578026430907"/>
          <c:h val="0.949013987580821"/>
        </c:manualLayout>
      </c:layout>
      <c:barChart>
        <c:barDir val="bar"/>
        <c:grouping val="clustered"/>
        <c:varyColors val="0"/>
        <c:ser>
          <c:idx val="0"/>
          <c:order val="0"/>
          <c:tx>
            <c:strRef>
              <c:f>Sheet1!$B$1</c:f>
              <c:strCache>
                <c:ptCount val="1"/>
                <c:pt idx="0">
                  <c:v>1</c:v>
                </c:pt>
              </c:strCache>
            </c:strRef>
          </c:tx>
          <c:spPr>
            <a:solidFill>
              <a:srgbClr val="0F6FC6"/>
            </a:solidFill>
            <a:ln>
              <a:noFill/>
            </a:ln>
            <a:effectLst/>
          </c:spPr>
          <c:invertIfNegative val="0"/>
          <c:dPt>
            <c:idx val="0"/>
            <c:invertIfNegative val="0"/>
            <c:bubble3D val="0"/>
            <c:spPr>
              <a:solidFill>
                <a:srgbClr val="0F6FC6"/>
              </a:solidFill>
              <a:ln>
                <a:noFill/>
              </a:ln>
              <a:effectLst/>
            </c:spPr>
          </c:dPt>
          <c:dPt>
            <c:idx val="1"/>
            <c:invertIfNegative val="0"/>
            <c:bubble3D val="0"/>
            <c:spPr>
              <a:solidFill>
                <a:srgbClr val="0F6FC6"/>
              </a:solidFill>
              <a:ln>
                <a:noFill/>
              </a:ln>
              <a:effectLst/>
            </c:spPr>
          </c:dPt>
          <c:dPt>
            <c:idx val="2"/>
            <c:invertIfNegative val="0"/>
            <c:bubble3D val="0"/>
            <c:spPr>
              <a:solidFill>
                <a:srgbClr val="0F6FC6"/>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ysClr val="windowText" lastClr="000000">
                          <a:shade val="95000"/>
                          <a:satMod val="105000"/>
                        </a:sysClr>
                      </a:solidFill>
                      <a:prstDash val="solid"/>
                      <a:round/>
                    </a:ln>
                    <a:effectLst/>
                  </c:spPr>
                </c15:leaderLines>
              </c:ext>
            </c:extLst>
          </c:dLbls>
          <c:cat>
            <c:strRef>
              <c:f>Sheet1!$A$2:$A$8</c:f>
              <c:strCache>
                <c:ptCount val="7"/>
                <c:pt idx="0">
                  <c:v>其他</c:v>
                </c:pt>
                <c:pt idx="1">
                  <c:v>自身知识没学好，达不到单位要求</c:v>
                </c:pt>
                <c:pt idx="2">
                  <c:v>学校教授的知识与单位需求不匹配</c:v>
                </c:pt>
                <c:pt idx="3">
                  <c:v>学校所在较偏僻，企事业单位较少</c:v>
                </c:pt>
                <c:pt idx="4">
                  <c:v>学校知名度低，不被单位认可</c:v>
                </c:pt>
                <c:pt idx="5">
                  <c:v>本专业就业面窄，市场需求较少</c:v>
                </c:pt>
                <c:pt idx="6">
                  <c:v>受大环境影响，专业相关行业发展不景气</c:v>
                </c:pt>
              </c:strCache>
            </c:strRef>
          </c:cat>
          <c:val>
            <c:numRef>
              <c:f>Sheet1!$B$2:$B$8</c:f>
              <c:numCache>
                <c:formatCode>0.00%</c:formatCode>
                <c:ptCount val="7"/>
                <c:pt idx="0">
                  <c:v>0.2143</c:v>
                </c:pt>
                <c:pt idx="1">
                  <c:v>0.0357</c:v>
                </c:pt>
                <c:pt idx="2">
                  <c:v>0.0714</c:v>
                </c:pt>
                <c:pt idx="3">
                  <c:v>0.0714</c:v>
                </c:pt>
                <c:pt idx="4">
                  <c:v>0.25</c:v>
                </c:pt>
                <c:pt idx="5">
                  <c:v>0.4286</c:v>
                </c:pt>
                <c:pt idx="6">
                  <c:v>0.5357</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noFill/>
            <a:prstDash val="solid"/>
            <a:round/>
          </a:ln>
          <a:effectLst/>
        </c:spPr>
        <c:txPr>
          <a:bodyPr rot="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972182824"/>
        <c:crosses val="autoZero"/>
        <c:auto val="1"/>
        <c:lblAlgn val="ctr"/>
        <c:lblOffset val="100"/>
        <c:noMultiLvlLbl val="0"/>
      </c:catAx>
      <c:valAx>
        <c:axId val="972182824"/>
        <c:scaling>
          <c:orientation val="minMax"/>
          <c:max val="1"/>
          <c:min val="0"/>
        </c:scaling>
        <c:delete val="1"/>
        <c:axPos val="b"/>
        <c:numFmt formatCode="0.00%" sourceLinked="1"/>
        <c:majorTickMark val="in"/>
        <c:minorTickMark val="none"/>
        <c:tickLblPos val="nextTo"/>
        <c:txPr>
          <a:bodyPr rot="-6000000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972182432"/>
        <c:crosses val="autoZero"/>
        <c:crossBetween val="between"/>
        <c:majorUnit val="0.2"/>
      </c:valAx>
      <c:spPr>
        <a:solidFill>
          <a:sysClr val="window" lastClr="FFFFFF"/>
        </a:solidFill>
        <a:ln>
          <a:noFill/>
        </a:ln>
        <a:effectLst/>
      </c:spPr>
    </c:plotArea>
    <c:plotVisOnly val="1"/>
    <c:dispBlanksAs val="gap"/>
    <c:showDLblsOverMax val="0"/>
  </c:chart>
  <c:spPr>
    <a:solidFill>
      <a:sysClr val="window" lastClr="FFFFFF"/>
    </a:solidFill>
    <a:ln w="9525" cap="flat" cmpd="sng" algn="ctr">
      <a:noFill/>
      <a:prstDash val="solid"/>
      <a:round/>
    </a:ln>
    <a:effectLst/>
  </c:spPr>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818383423990785"/>
          <c:y val="0.132479624257494"/>
          <c:w val="0.84408756197142"/>
          <c:h val="0.716168531565133"/>
        </c:manualLayout>
      </c:layout>
      <c:barChart>
        <c:barDir val="col"/>
        <c:grouping val="clustered"/>
        <c:varyColors val="0"/>
        <c:ser>
          <c:idx val="2"/>
          <c:order val="2"/>
          <c:tx>
            <c:strRef>
              <c:f>Sheet1!$B$1</c:f>
              <c:strCache>
                <c:ptCount val="1"/>
                <c:pt idx="0">
                  <c:v>本校2022届本科毕业生</c:v>
                </c:pt>
              </c:strCache>
            </c:strRef>
          </c:tx>
          <c:spPr>
            <a:solidFill>
              <a:srgbClr val="4F81BD">
                <a:lumMod val="40000"/>
                <a:lumOff val="60000"/>
              </a:srgb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c:f>
              <c:strCache>
                <c:ptCount val="1"/>
                <c:pt idx="0">
                  <c:v>月均收入</c:v>
                </c:pt>
              </c:strCache>
            </c:strRef>
          </c:cat>
          <c:val>
            <c:numRef>
              <c:f>Sheet1!$B$2</c:f>
              <c:numCache>
                <c:formatCode>General</c:formatCode>
                <c:ptCount val="1"/>
                <c:pt idx="0">
                  <c:v>5355</c:v>
                </c:pt>
              </c:numCache>
            </c:numRef>
          </c:val>
        </c:ser>
        <c:ser>
          <c:idx val="3"/>
          <c:order val="3"/>
          <c:tx>
            <c:strRef>
              <c:f>Sheet1!$C$1</c:f>
              <c:strCache>
                <c:ptCount val="1"/>
                <c:pt idx="0">
                  <c:v>全国高校2022届本科毕业生</c:v>
                </c:pt>
              </c:strCache>
            </c:strRef>
          </c:tx>
          <c:spPr>
            <a:solidFill>
              <a:srgbClr val="1F497D">
                <a:lumMod val="60000"/>
                <a:lumOff val="40000"/>
              </a:srgb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c:f>
              <c:strCache>
                <c:ptCount val="1"/>
                <c:pt idx="0">
                  <c:v>月均收入</c:v>
                </c:pt>
              </c:strCache>
            </c:strRef>
          </c:cat>
          <c:val>
            <c:numRef>
              <c:f>Sheet1!$C$2</c:f>
              <c:numCache>
                <c:formatCode>General</c:formatCode>
                <c:ptCount val="1"/>
                <c:pt idx="0">
                  <c:v>5278</c:v>
                </c:pt>
              </c:numCache>
            </c:numRef>
          </c:val>
        </c:ser>
        <c:dLbls>
          <c:showLegendKey val="0"/>
          <c:showVal val="1"/>
          <c:showCatName val="0"/>
          <c:showSerName val="0"/>
          <c:showPercent val="0"/>
          <c:showBubbleSize val="0"/>
        </c:dLbls>
        <c:gapWidth val="269"/>
        <c:overlap val="-15"/>
        <c:axId val="608998768"/>
        <c:axId val="608999160"/>
        <c:extLst>
          <c:ext xmlns:c15="http://schemas.microsoft.com/office/drawing/2012/chart" uri="{02D57815-91ED-43cb-92C2-25804820EDAC}">
            <c15:filteredBarSeries>
              <c15:ser>
                <c:idx val="0"/>
                <c:order val="0"/>
                <c:tx>
                  <c:strRef>
                    <c:extLst>
                      <c:ext uri="{02D57815-91ED-43cb-92C2-25804820EDAC}">
                        <c15:formulaRef>
                          <c15:sqref>Sheet1!#REF!</c15:sqref>
                        </c15:formulaRef>
                      </c:ext>
                    </c:extLst>
                    <c:strCache>
                      <c:ptCount val="1"/>
                      <c:pt idx="0">
                        <c:v>#REF!</c:v>
                      </c:pt>
                    </c:strCache>
                  </c:strRef>
                </c:tx>
                <c:invertIfNegative val="1"/>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extLst>
                      <c:ext uri="{02D57815-91ED-43cb-92C2-25804820EDAC}">
                        <c15:fullRef>
                          <c15:sqref/>
                        </c15:fullRef>
                        <c15:formulaRef>
                          <c15:sqref>Sheet1!$A$2</c15:sqref>
                        </c15:formulaRef>
                      </c:ext>
                    </c:extLst>
                    <c:strCache>
                      <c:ptCount val="1"/>
                      <c:pt idx="0">
                        <c:v>月均收入</c:v>
                      </c:pt>
                    </c:strCache>
                  </c:strRef>
                </c:cat>
                <c:val>
                  <c:numRef>
                    <c:extLst>
                      <c:ext uri="{02D57815-91ED-43cb-92C2-25804820EDAC}">
                        <c15:formulaRef>
                          <c15:sqref>Sheet1!#REF!</c15:sqref>
                        </c15:formulaRef>
                      </c:ext>
                    </c:extLst>
                    <c:numCache>
                      <c:formatCode>General</c:formatCode>
                      <c:ptCount val="1"/>
                      <c:pt idx="0">
                        <c:v>1</c:v>
                      </c:pt>
                    </c:numCache>
                  </c:numRef>
                </c:val>
              </c15:ser>
            </c15:filteredBarSeries>
            <c15:filteredBarSeries>
              <c15:ser>
                <c:idx val="1"/>
                <c:order val="1"/>
                <c:tx>
                  <c:strRef>
                    <c:extLst>
                      <c:ext uri="{02D57815-91ED-43cb-92C2-25804820EDAC}">
                        <c15:formulaRef>
                          <c15:sqref>Sheet1!#REF!</c15:sqref>
                        </c15:formulaRef>
                      </c:ext>
                    </c:extLst>
                    <c:strCache>
                      <c:ptCount val="1"/>
                      <c:pt idx="0">
                        <c:v>#REF!</c:v>
                      </c:pt>
                    </c:strCache>
                  </c:strRef>
                </c:tx>
                <c:invertIfNegative val="1"/>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extLst>
                      <c:ext uri="{02D57815-91ED-43cb-92C2-25804820EDAC}">
                        <c15:fullRef>
                          <c15:sqref/>
                        </c15:fullRef>
                        <c15:formulaRef>
                          <c15:sqref>Sheet1!$A$2</c15:sqref>
                        </c15:formulaRef>
                      </c:ext>
                    </c:extLst>
                    <c:strCache>
                      <c:ptCount val="1"/>
                      <c:pt idx="0">
                        <c:v>月均收入</c:v>
                      </c:pt>
                    </c:strCache>
                  </c:strRef>
                </c:cat>
                <c:val>
                  <c:numRef>
                    <c:extLst>
                      <c:ext uri="{02D57815-91ED-43cb-92C2-25804820EDAC}">
                        <c15:formulaRef>
                          <c15:sqref>Sheet1!#REF!</c15:sqref>
                        </c15:formulaRef>
                      </c:ext>
                    </c:extLst>
                    <c:numCache>
                      <c:formatCode>General</c:formatCode>
                      <c:ptCount val="1"/>
                      <c:pt idx="0">
                        <c:v>1</c:v>
                      </c:pt>
                    </c:numCache>
                  </c:numRef>
                </c:val>
              </c15:ser>
            </c15:filteredBarSeries>
          </c:ext>
        </c:extLst>
      </c:barChart>
      <c:catAx>
        <c:axId val="608998768"/>
        <c:scaling>
          <c:orientation val="minMax"/>
        </c:scaling>
        <c:delete val="0"/>
        <c:axPos val="b"/>
        <c:numFmt formatCode="General" sourceLinked="1"/>
        <c:majorTickMark val="none"/>
        <c:minorTickMark val="none"/>
        <c:tickLblPos val="nextTo"/>
        <c:spPr>
          <a:noFill/>
          <a:ln w="12700" cap="flat" cmpd="sng" algn="ctr">
            <a:solidFill>
              <a:sysClr val="window" lastClr="FFFFFF">
                <a:lumMod val="50000"/>
              </a:sysClr>
            </a:solidFill>
            <a:prstDash val="solid"/>
            <a:round/>
          </a:ln>
        </c:spPr>
        <c:txPr>
          <a:bodyPr rot="0" spcFirstLastPara="1" vertOverflow="ellipsis" vert="horz" wrap="square" anchor="ctr" anchorCtr="1"/>
          <a:lstStyle/>
          <a:p>
            <a:pPr>
              <a:defRPr lang="zh-CN" sz="900" b="0" i="0" u="none" strike="noStrike" kern="1200" baseline="0">
                <a:solidFill>
                  <a:sysClr val="window" lastClr="FFFFFF"/>
                </a:solidFill>
                <a:latin typeface="+mn-lt"/>
                <a:ea typeface="+mn-ea"/>
                <a:cs typeface="+mn-cs"/>
              </a:defRPr>
            </a:pPr>
          </a:p>
        </c:txPr>
        <c:crossAx val="608999160"/>
        <c:crosses val="autoZero"/>
        <c:auto val="1"/>
        <c:lblAlgn val="ctr"/>
        <c:lblOffset val="100"/>
        <c:noMultiLvlLbl val="0"/>
      </c:catAx>
      <c:valAx>
        <c:axId val="608999160"/>
        <c:scaling>
          <c:orientation val="minMax"/>
          <c:max val="5431.5"/>
          <c:min val="0"/>
        </c:scaling>
        <c:delete val="1"/>
        <c:axPos val="l"/>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608998768"/>
        <c:crosses val="autoZero"/>
        <c:crossBetween val="between"/>
        <c:majorUnit val="1000"/>
      </c:valAx>
      <c:spPr>
        <a:noFill/>
        <a:ln>
          <a:noFill/>
        </a:ln>
      </c:spPr>
    </c:plotArea>
    <c:legend>
      <c:legendPos val="b"/>
      <c:layout>
        <c:manualLayout>
          <c:xMode val="edge"/>
          <c:yMode val="edge"/>
          <c:x val="0.0668123170948601"/>
          <c:y val="0.851841414560022"/>
          <c:w val="0.82713827224369"/>
          <c:h val="0.120197817378091"/>
        </c:manualLayout>
      </c:layout>
      <c:overlay val="0"/>
      <c:spPr>
        <a:noFill/>
        <a:ln>
          <a:noFill/>
        </a:ln>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gap"/>
    <c:showDLblsOverMax val="0"/>
  </c:chart>
  <c:spPr>
    <a:solidFill>
      <a:sysClr val="window" lastClr="FFFFFF"/>
    </a:solidFill>
    <a:ln w="9525" cap="flat" cmpd="sng" algn="ctr">
      <a:noFill/>
      <a:prstDash val="solid"/>
      <a:round/>
    </a:ln>
  </c:spPr>
  <c:txPr>
    <a:bodyPr/>
    <a:lstStyle/>
    <a:p>
      <a:pPr>
        <a:defRPr lang="zh-CN">
          <a:solidFill>
            <a:sysClr val="windowText" lastClr="000000"/>
          </a:solidFill>
        </a:defRPr>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8599945949166"/>
          <c:y val="0.0163854801168723"/>
          <c:w val="0.617121973677341"/>
          <c:h val="0.949013987580821"/>
        </c:manualLayout>
      </c:layout>
      <c:barChart>
        <c:barDir val="bar"/>
        <c:grouping val="clustered"/>
        <c:varyColors val="0"/>
        <c:ser>
          <c:idx val="0"/>
          <c:order val="0"/>
          <c:tx>
            <c:strRef>
              <c:f>Sheet1!$B$1</c:f>
              <c:strCache>
                <c:ptCount val="1"/>
                <c:pt idx="0">
                  <c:v>薪酬</c:v>
                </c:pt>
              </c:strCache>
            </c:strRef>
          </c:tx>
          <c:spPr>
            <a:solidFill>
              <a:srgbClr val="0F6FC6"/>
            </a:solidFill>
            <a:ln>
              <a:noFill/>
            </a:ln>
          </c:spPr>
          <c:invertIfNegative val="0"/>
          <c:dPt>
            <c:idx val="0"/>
            <c:invertIfNegative val="0"/>
            <c:bubble3D val="0"/>
          </c:dPt>
          <c:dPt>
            <c:idx val="1"/>
            <c:invertIfNegative val="0"/>
            <c:bubble3D val="0"/>
          </c:dPt>
          <c:dPt>
            <c:idx val="2"/>
            <c:invertIfNegative val="0"/>
            <c:bubble3D val="0"/>
          </c:dPt>
          <c:dPt>
            <c:idx val="4"/>
            <c:invertIfNegative val="0"/>
            <c:bubble3D val="0"/>
          </c:dPt>
          <c:dPt>
            <c:idx val="6"/>
            <c:invertIfNegative val="0"/>
            <c:bubble3D val="0"/>
            <c:spPr>
              <a:solidFill>
                <a:srgbClr val="0F6FC6"/>
              </a:solidFill>
              <a:ln>
                <a:solidFill>
                  <a:srgbClr val="0BD0D9"/>
                </a:solidFill>
              </a:ln>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Sheet1!$A$2:$A$9</c:f>
              <c:strCache>
                <c:ptCount val="8"/>
                <c:pt idx="0">
                  <c:v>*海事学院</c:v>
                </c:pt>
                <c:pt idx="1">
                  <c:v>信息工程学院</c:v>
                </c:pt>
                <c:pt idx="2">
                  <c:v>机电工程学院</c:v>
                </c:pt>
                <c:pt idx="3">
                  <c:v>城建学院</c:v>
                </c:pt>
                <c:pt idx="4">
                  <c:v>总体水平</c:v>
                </c:pt>
                <c:pt idx="5">
                  <c:v>国际护理学院</c:v>
                </c:pt>
                <c:pt idx="6">
                  <c:v>化学与材料工程学院</c:v>
                </c:pt>
                <c:pt idx="7">
                  <c:v>健康科学学院</c:v>
                </c:pt>
              </c:strCache>
            </c:strRef>
          </c:cat>
          <c:val>
            <c:numRef>
              <c:f>Sheet1!$B$2:$B$9</c:f>
              <c:numCache>
                <c:formatCode>General</c:formatCode>
                <c:ptCount val="8"/>
                <c:pt idx="0">
                  <c:v>4500</c:v>
                </c:pt>
                <c:pt idx="1">
                  <c:v>4266.67</c:v>
                </c:pt>
                <c:pt idx="2">
                  <c:v>4824</c:v>
                </c:pt>
                <c:pt idx="3">
                  <c:v>4847.62</c:v>
                </c:pt>
                <c:pt idx="4">
                  <c:v>5355.34</c:v>
                </c:pt>
                <c:pt idx="5">
                  <c:v>5350</c:v>
                </c:pt>
                <c:pt idx="6">
                  <c:v>5633.33</c:v>
                </c:pt>
                <c:pt idx="7">
                  <c:v>6400</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ysClr val="windowText" lastClr="000000">
                <a:tint val="75000"/>
                <a:shade val="95000"/>
                <a:satMod val="105000"/>
              </a:sysClr>
            </a:solidFill>
            <a:prstDash val="solid"/>
            <a:round/>
          </a:ln>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972182824"/>
        <c:crosses val="autoZero"/>
        <c:auto val="1"/>
        <c:lblAlgn val="ctr"/>
        <c:lblOffset val="100"/>
        <c:noMultiLvlLbl val="0"/>
      </c:catAx>
      <c:valAx>
        <c:axId val="972182824"/>
        <c:scaling>
          <c:orientation val="minMax"/>
          <c:min val="0"/>
        </c:scaling>
        <c:delete val="0"/>
        <c:axPos val="b"/>
        <c:numFmt formatCode="0.00_);[Red]\(0.00\)" sourceLinked="0"/>
        <c:majorTickMark val="in"/>
        <c:minorTickMark val="none"/>
        <c:tickLblPos val="nextTo"/>
        <c:spPr>
          <a:noFill/>
          <a:ln w="9525" cap="flat" cmpd="sng" algn="ctr">
            <a:solidFill>
              <a:sysClr val="windowText" lastClr="000000">
                <a:tint val="75000"/>
                <a:shade val="95000"/>
                <a:satMod val="105000"/>
              </a:sysClr>
            </a:solidFill>
            <a:prstDash val="solid"/>
            <a:round/>
          </a:ln>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972182432"/>
        <c:crosses val="autoZero"/>
        <c:crossBetween val="between"/>
        <c:majorUnit val="2000"/>
      </c:valAx>
      <c:spPr>
        <a:solidFill>
          <a:sysClr val="window" lastClr="FFFFFF"/>
        </a:solidFill>
        <a:ln>
          <a:noFill/>
        </a:ln>
      </c:spPr>
    </c:plotArea>
    <c:plotVisOnly val="1"/>
    <c:dispBlanksAs val="gap"/>
    <c:showDLblsOverMax val="0"/>
  </c:chart>
  <c:spPr>
    <a:solidFill>
      <a:sysClr val="window" lastClr="FFFFFF"/>
    </a:solidFill>
    <a:ln w="9525" cap="flat" cmpd="sng" algn="ctr">
      <a:noFill/>
      <a:prstDash val="solid"/>
      <a:round/>
    </a:ln>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5319966447493"/>
          <c:y val="0.133353113469512"/>
          <c:w val="0.39121600779284"/>
          <c:h val="0.733293773060976"/>
        </c:manualLayout>
      </c:layout>
      <c:pieChart>
        <c:varyColors val="1"/>
        <c:ser>
          <c:idx val="0"/>
          <c:order val="0"/>
          <c:tx>
            <c:strRef>
              <c:f>Sheet1!$B$1</c:f>
              <c:strCache>
                <c:ptCount val="1"/>
                <c:pt idx="0">
                  <c:v>占比</c:v>
                </c:pt>
              </c:strCache>
            </c:strRef>
          </c:tx>
          <c:explosion val="0"/>
          <c:dPt>
            <c:idx val="0"/>
            <c:bubble3D val="0"/>
            <c:spPr>
              <a:solidFill>
                <a:srgbClr val="0F6FC6"/>
              </a:solidFill>
              <a:ln w="19050">
                <a:solidFill>
                  <a:sysClr val="window" lastClr="FFFFFF"/>
                </a:solidFill>
              </a:ln>
              <a:effectLst/>
            </c:spPr>
          </c:dPt>
          <c:dPt>
            <c:idx val="1"/>
            <c:bubble3D val="0"/>
            <c:spPr>
              <a:solidFill>
                <a:srgbClr val="009DD9"/>
              </a:solidFill>
              <a:ln w="19050">
                <a:solidFill>
                  <a:sysClr val="window" lastClr="FFFFFF"/>
                </a:solidFill>
              </a:ln>
              <a:effectLst/>
            </c:spPr>
          </c:dPt>
          <c:dPt>
            <c:idx val="2"/>
            <c:bubble3D val="0"/>
            <c:spPr>
              <a:solidFill>
                <a:srgbClr val="1F497D"/>
              </a:solidFill>
              <a:ln w="19050">
                <a:solidFill>
                  <a:sysClr val="window" lastClr="FFFFFF"/>
                </a:solidFill>
              </a:ln>
              <a:effectLst/>
            </c:spPr>
          </c:dPt>
          <c:dPt>
            <c:idx val="3"/>
            <c:bubble3D val="0"/>
            <c:spPr>
              <a:solidFill>
                <a:srgbClr val="1F497D">
                  <a:lumMod val="60000"/>
                  <a:lumOff val="40000"/>
                </a:srgbClr>
              </a:solidFill>
              <a:ln w="19050">
                <a:solidFill>
                  <a:sysClr val="window" lastClr="FFFFFF"/>
                </a:solidFill>
              </a:ln>
              <a:effectLst/>
            </c:spPr>
          </c:dPt>
          <c:dPt>
            <c:idx val="4"/>
            <c:bubble3D val="0"/>
            <c:spPr>
              <a:solidFill>
                <a:srgbClr val="4F81BD">
                  <a:lumMod val="40000"/>
                  <a:lumOff val="60000"/>
                </a:srgbClr>
              </a:solidFill>
              <a:ln w="19050">
                <a:solidFill>
                  <a:sysClr val="window" lastClr="FFFFFF"/>
                </a:solidFill>
              </a:ln>
              <a:effectLst/>
            </c:spPr>
          </c:dPt>
          <c:dLbls>
            <c:dLbl>
              <c:idx val="0"/>
              <c:layout>
                <c:manualLayout>
                  <c:x val="0.0241373193735398"/>
                  <c:y val="0.0202910776092727"/>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0130530075493141"/>
                  <c:y val="-2.94906956855112e-6"/>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0449232067145453"/>
                  <c:y val="-0.0124415775446884"/>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40205286839145"/>
                      <c:h val="0.139889465036383"/>
                    </c:manualLayout>
                  </c15:layout>
                </c:ext>
              </c:extLst>
            </c:dLbl>
            <c:dLbl>
              <c:idx val="3"/>
              <c:layout>
                <c:manualLayout>
                  <c:x val="-0.00687285223367698"/>
                  <c:y val="0.0673912530596597"/>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0.0357142857142857"/>
                  <c:y val="0.0133913625711416"/>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37458034091892"/>
                      <c:h val="0.172847167120514"/>
                    </c:manualLayout>
                  </c15:layout>
                </c:ext>
              </c:extLst>
            </c:dLbl>
            <c:numFmt formatCode="0.00%" sourceLinked="0"/>
            <c:spPr>
              <a:noFill/>
              <a:ln>
                <a:noFill/>
              </a:ln>
              <a:effectLst/>
            </c:spPr>
            <c:txPr>
              <a:bodyPr rot="0" spcFirstLastPara="1" vertOverflow="clip" horzOverflow="clip" vert="horz" wrap="square" lIns="36576" tIns="18288" rIns="36576" bIns="18288" anchor="ctr" anchorCtr="1">
                <a:sp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1"/>
            <c:showCatName val="1"/>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很对口</c:v>
                </c:pt>
                <c:pt idx="1">
                  <c:v>对口</c:v>
                </c:pt>
                <c:pt idx="2">
                  <c:v>基本对口</c:v>
                </c:pt>
                <c:pt idx="3">
                  <c:v>不对口</c:v>
                </c:pt>
                <c:pt idx="4">
                  <c:v>很不对口</c:v>
                </c:pt>
              </c:strCache>
            </c:strRef>
          </c:cat>
          <c:val>
            <c:numRef>
              <c:f>Sheet1!$B$2:$B$6</c:f>
              <c:numCache>
                <c:formatCode>0.00%</c:formatCode>
                <c:ptCount val="5"/>
                <c:pt idx="0">
                  <c:v>0.1526</c:v>
                </c:pt>
                <c:pt idx="1">
                  <c:v>0.3191</c:v>
                </c:pt>
                <c:pt idx="2">
                  <c:v>0.2766</c:v>
                </c:pt>
                <c:pt idx="3">
                  <c:v>0.1421</c:v>
                </c:pt>
                <c:pt idx="4">
                  <c:v>0.1096</c:v>
                </c:pt>
              </c:numCache>
            </c:numRef>
          </c:val>
        </c:ser>
        <c:dLbls>
          <c:showLegendKey val="0"/>
          <c:showVal val="0"/>
          <c:showCatName val="0"/>
          <c:showSerName val="0"/>
          <c:showPercent val="0"/>
          <c:showBubbleSize val="0"/>
          <c:showLeaderLines val="0"/>
        </c:dLbls>
        <c:firstSliceAng val="0"/>
      </c:pieChart>
      <c:spPr>
        <a:noFill/>
        <a:ln>
          <a:noFill/>
        </a:ln>
      </c:spPr>
    </c:plotArea>
    <c:plotVisOnly val="1"/>
    <c:dispBlanksAs val="gap"/>
    <c:showDLblsOverMax val="0"/>
  </c:chart>
  <c:spPr>
    <a:solidFill>
      <a:sysClr val="window" lastClr="FFFFFF"/>
    </a:solidFill>
    <a:ln w="9525" cap="flat" cmpd="sng" algn="ctr">
      <a:solidFill>
        <a:sysClr val="window" lastClr="FFFFFF"/>
      </a:solidFill>
      <a:prstDash val="solid"/>
      <a:round/>
    </a:ln>
  </c:spPr>
  <c:txPr>
    <a:bodyPr/>
    <a:lstStyle/>
    <a:p>
      <a:pPr>
        <a:defRPr lang="zh-CN">
          <a:solidFill>
            <a:sysClr val="windowText" lastClr="000000"/>
          </a:solidFill>
        </a:defRPr>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818383423990785"/>
          <c:y val="0.0704372379992785"/>
          <c:w val="0.84408756197142"/>
          <c:h val="0.738080630916396"/>
        </c:manualLayout>
      </c:layout>
      <c:barChart>
        <c:barDir val="col"/>
        <c:grouping val="clustered"/>
        <c:varyColors val="0"/>
        <c:ser>
          <c:idx val="2"/>
          <c:order val="0"/>
          <c:tx>
            <c:strRef>
              <c:f>Sheet1!$B$1</c:f>
              <c:strCache>
                <c:ptCount val="1"/>
                <c:pt idx="0">
                  <c:v>本校2022届本科毕业生</c:v>
                </c:pt>
              </c:strCache>
            </c:strRef>
          </c:tx>
          <c:spPr>
            <a:solidFill>
              <a:srgbClr val="1F497D">
                <a:lumMod val="60000"/>
                <a:lumOff val="40000"/>
              </a:srgb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c:f>
              <c:strCache>
                <c:ptCount val="1"/>
                <c:pt idx="0">
                  <c:v>对口度</c:v>
                </c:pt>
              </c:strCache>
            </c:strRef>
          </c:cat>
          <c:val>
            <c:numRef>
              <c:f>Sheet1!$B$2</c:f>
              <c:numCache>
                <c:formatCode>0.00%</c:formatCode>
                <c:ptCount val="1"/>
                <c:pt idx="0">
                  <c:v>0.7483</c:v>
                </c:pt>
              </c:numCache>
            </c:numRef>
          </c:val>
        </c:ser>
        <c:ser>
          <c:idx val="3"/>
          <c:order val="1"/>
          <c:tx>
            <c:strRef>
              <c:f>Sheet1!$C$1</c:f>
              <c:strCache>
                <c:ptCount val="1"/>
                <c:pt idx="0">
                  <c:v>全国高校2022届本科毕业生</c:v>
                </c:pt>
              </c:strCache>
            </c:strRef>
          </c:tx>
          <c:spPr>
            <a:solidFill>
              <a:srgbClr val="1F497D">
                <a:lumMod val="20000"/>
                <a:lumOff val="80000"/>
              </a:srgbClr>
            </a:solidFill>
          </c:spPr>
          <c:invertIfNegative val="0"/>
          <c:dPt>
            <c:idx val="0"/>
            <c:invertIfNegative val="0"/>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c:f>
              <c:strCache>
                <c:ptCount val="1"/>
                <c:pt idx="0">
                  <c:v>对口度</c:v>
                </c:pt>
              </c:strCache>
            </c:strRef>
          </c:cat>
          <c:val>
            <c:numRef>
              <c:f>Sheet1!$C$2</c:f>
              <c:numCache>
                <c:formatCode>0.00%</c:formatCode>
                <c:ptCount val="1"/>
                <c:pt idx="0">
                  <c:v>0.7726</c:v>
                </c:pt>
              </c:numCache>
            </c:numRef>
          </c:val>
        </c:ser>
        <c:dLbls>
          <c:showLegendKey val="0"/>
          <c:showVal val="1"/>
          <c:showCatName val="0"/>
          <c:showSerName val="0"/>
          <c:showPercent val="0"/>
          <c:showBubbleSize val="0"/>
        </c:dLbls>
        <c:gapWidth val="269"/>
        <c:overlap val="-15"/>
        <c:axId val="608998768"/>
        <c:axId val="608999160"/>
      </c:barChart>
      <c:catAx>
        <c:axId val="608998768"/>
        <c:scaling>
          <c:orientation val="minMax"/>
        </c:scaling>
        <c:delete val="0"/>
        <c:axPos val="b"/>
        <c:numFmt formatCode="General" sourceLinked="1"/>
        <c:majorTickMark val="none"/>
        <c:minorTickMark val="none"/>
        <c:tickLblPos val="nextTo"/>
        <c:spPr>
          <a:noFill/>
          <a:ln w="12700" cap="flat" cmpd="sng" algn="ctr">
            <a:solidFill>
              <a:sysClr val="window" lastClr="FFFFFF">
                <a:lumMod val="50000"/>
              </a:sysClr>
            </a:solidFill>
            <a:prstDash val="solid"/>
            <a:round/>
          </a:ln>
        </c:spPr>
        <c:txPr>
          <a:bodyPr rot="0" spcFirstLastPara="1" vertOverflow="ellipsis" vert="horz" wrap="square" anchor="ctr" anchorCtr="1"/>
          <a:lstStyle/>
          <a:p>
            <a:pPr>
              <a:defRPr lang="zh-CN" sz="900" b="0" i="0" u="none" strike="noStrike" kern="1200" baseline="0">
                <a:solidFill>
                  <a:sysClr val="window" lastClr="FFFFFF"/>
                </a:solidFill>
                <a:latin typeface="+mn-lt"/>
                <a:ea typeface="+mn-ea"/>
                <a:cs typeface="+mn-cs"/>
              </a:defRPr>
            </a:pPr>
          </a:p>
        </c:txPr>
        <c:crossAx val="608999160"/>
        <c:crosses val="autoZero"/>
        <c:auto val="1"/>
        <c:lblAlgn val="ctr"/>
        <c:lblOffset val="100"/>
        <c:noMultiLvlLbl val="0"/>
      </c:catAx>
      <c:valAx>
        <c:axId val="608999160"/>
        <c:scaling>
          <c:orientation val="minMax"/>
          <c:max val="1"/>
          <c:min val="0"/>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608998768"/>
        <c:crosses val="autoZero"/>
        <c:crossBetween val="between"/>
        <c:majorUnit val="1000"/>
      </c:valAx>
      <c:spPr>
        <a:noFill/>
        <a:ln>
          <a:noFill/>
        </a:ln>
      </c:spPr>
    </c:plotArea>
    <c:legend>
      <c:legendPos val="b"/>
      <c:layout>
        <c:manualLayout>
          <c:xMode val="edge"/>
          <c:yMode val="edge"/>
          <c:x val="0.0713542807149106"/>
          <c:y val="0.836751377641776"/>
          <c:w val="0.852356255468066"/>
          <c:h val="0.146591982820329"/>
        </c:manualLayout>
      </c:layout>
      <c:overlay val="0"/>
      <c:spPr>
        <a:noFill/>
        <a:ln>
          <a:noFill/>
        </a:ln>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gap"/>
    <c:showDLblsOverMax val="0"/>
  </c:chart>
  <c:spPr>
    <a:solidFill>
      <a:sysClr val="window" lastClr="FFFFFF"/>
    </a:solidFill>
    <a:ln w="9525" cap="flat" cmpd="sng" algn="ctr">
      <a:noFill/>
      <a:prstDash val="solid"/>
      <a:round/>
    </a:ln>
  </c:spPr>
  <c:txPr>
    <a:bodyPr/>
    <a:lstStyle/>
    <a:p>
      <a:pPr>
        <a:defRPr lang="zh-CN">
          <a:solidFill>
            <a:sysClr val="windowText" lastClr="000000"/>
          </a:solidFill>
        </a:defRPr>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98307501036055"/>
          <c:y val="0.0163854801168723"/>
          <c:w val="0.467414283740848"/>
          <c:h val="0.949013987580821"/>
        </c:manualLayout>
      </c:layout>
      <c:barChart>
        <c:barDir val="bar"/>
        <c:grouping val="clustered"/>
        <c:varyColors val="0"/>
        <c:ser>
          <c:idx val="0"/>
          <c:order val="0"/>
          <c:tx>
            <c:strRef>
              <c:f>Sheet1!$B$1</c:f>
              <c:strCache>
                <c:ptCount val="1"/>
                <c:pt idx="0">
                  <c:v>1</c:v>
                </c:pt>
              </c:strCache>
            </c:strRef>
          </c:tx>
          <c:spPr>
            <a:solidFill>
              <a:srgbClr val="0F6FC6"/>
            </a:solidFill>
            <a:ln>
              <a:noFill/>
            </a:ln>
            <a:effectLst/>
          </c:spPr>
          <c:invertIfNegative val="0"/>
          <c:dPt>
            <c:idx val="0"/>
            <c:invertIfNegative val="0"/>
            <c:bubble3D val="0"/>
            <c:spPr>
              <a:solidFill>
                <a:srgbClr val="0F6FC6"/>
              </a:solidFill>
              <a:ln>
                <a:noFill/>
              </a:ln>
              <a:effectLst/>
            </c:spPr>
          </c:dPt>
          <c:dPt>
            <c:idx val="1"/>
            <c:invertIfNegative val="0"/>
            <c:bubble3D val="0"/>
            <c:spPr>
              <a:solidFill>
                <a:srgbClr val="0F6FC6"/>
              </a:solidFill>
              <a:ln>
                <a:noFill/>
              </a:ln>
              <a:effectLst/>
            </c:spPr>
          </c:dPt>
          <c:dPt>
            <c:idx val="2"/>
            <c:invertIfNegative val="0"/>
            <c:bubble3D val="0"/>
            <c:spPr>
              <a:solidFill>
                <a:srgbClr val="0F6FC6"/>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ysClr val="windowText" lastClr="000000">
                          <a:shade val="95000"/>
                          <a:satMod val="105000"/>
                        </a:sysClr>
                      </a:solidFill>
                      <a:prstDash val="solid"/>
                      <a:round/>
                    </a:ln>
                    <a:effectLst/>
                  </c:spPr>
                </c15:leaderLines>
              </c:ext>
            </c:extLst>
          </c:dLbls>
          <c:cat>
            <c:strRef>
              <c:f>Sheet1!$A$2:$A$7</c:f>
              <c:strCache>
                <c:ptCount val="6"/>
                <c:pt idx="0">
                  <c:v>其他</c:v>
                </c:pt>
                <c:pt idx="1">
                  <c:v>不想找对口工作，因为收入待遇</c:v>
                </c:pt>
                <c:pt idx="2">
                  <c:v>不想找对口工作，因为工作环境</c:v>
                </c:pt>
                <c:pt idx="3">
                  <c:v>不想找对口工作，因为个人兴趣</c:v>
                </c:pt>
                <c:pt idx="4">
                  <c:v>想找对口工作，但是不符合要求</c:v>
                </c:pt>
                <c:pt idx="5">
                  <c:v>想找对口工作，但是就业机会太少</c:v>
                </c:pt>
              </c:strCache>
            </c:strRef>
          </c:cat>
          <c:val>
            <c:numRef>
              <c:f>Sheet1!$B$2:$B$7</c:f>
              <c:numCache>
                <c:formatCode>0.00%</c:formatCode>
                <c:ptCount val="6"/>
                <c:pt idx="0">
                  <c:v>0.1212</c:v>
                </c:pt>
                <c:pt idx="1">
                  <c:v>0.0606</c:v>
                </c:pt>
                <c:pt idx="2">
                  <c:v>0.1515</c:v>
                </c:pt>
                <c:pt idx="3">
                  <c:v>0.1515</c:v>
                </c:pt>
                <c:pt idx="4">
                  <c:v>0.1515</c:v>
                </c:pt>
                <c:pt idx="5">
                  <c:v>0.3636</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noFill/>
            <a:prstDash val="solid"/>
            <a:round/>
          </a:ln>
          <a:effectLst/>
        </c:spPr>
        <c:txPr>
          <a:bodyPr rot="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972182824"/>
        <c:crosses val="autoZero"/>
        <c:auto val="1"/>
        <c:lblAlgn val="ctr"/>
        <c:lblOffset val="100"/>
        <c:noMultiLvlLbl val="0"/>
      </c:catAx>
      <c:valAx>
        <c:axId val="972182824"/>
        <c:scaling>
          <c:orientation val="minMax"/>
          <c:max val="0.4"/>
          <c:min val="0"/>
        </c:scaling>
        <c:delete val="0"/>
        <c:axPos val="b"/>
        <c:numFmt formatCode="0.00%" sourceLinked="1"/>
        <c:majorTickMark val="out"/>
        <c:minorTickMark val="none"/>
        <c:tickLblPos val="nextTo"/>
        <c:spPr>
          <a:noFill/>
          <a:ln w="9525" cap="flat" cmpd="sng" algn="ctr">
            <a:solidFill>
              <a:sysClr val="windowText" lastClr="000000">
                <a:tint val="75000"/>
                <a:shade val="95000"/>
                <a:satMod val="105000"/>
              </a:sysClr>
            </a:solidFill>
            <a:prstDash val="solid"/>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972182432"/>
        <c:crosses val="autoZero"/>
        <c:crossBetween val="between"/>
        <c:majorUnit val="0.2"/>
      </c:valAx>
      <c:spPr>
        <a:solidFill>
          <a:sysClr val="window" lastClr="FFFFFF"/>
        </a:solidFill>
        <a:ln>
          <a:noFill/>
        </a:ln>
        <a:effectLst/>
      </c:spPr>
    </c:plotArea>
    <c:plotVisOnly val="1"/>
    <c:dispBlanksAs val="gap"/>
    <c:showDLblsOverMax val="0"/>
  </c:chart>
  <c:spPr>
    <a:solidFill>
      <a:sysClr val="window" lastClr="FFFFFF"/>
    </a:solidFill>
    <a:ln w="9525" cap="flat" cmpd="sng" algn="ctr">
      <a:noFill/>
      <a:prstDash val="solid"/>
      <a:round/>
    </a:ln>
    <a:effectLst/>
  </c:spPr>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4554719005898"/>
          <c:y val="0.0247425722616027"/>
          <c:w val="0.718195355352535"/>
          <c:h val="0.544478410786887"/>
        </c:manualLayout>
      </c:layout>
      <c:barChart>
        <c:barDir val="col"/>
        <c:grouping val="clustered"/>
        <c:varyColors val="0"/>
        <c:ser>
          <c:idx val="0"/>
          <c:order val="0"/>
          <c:tx>
            <c:strRef>
              <c:f>Sheet1!$B$1</c:f>
              <c:strCache>
                <c:ptCount val="1"/>
                <c:pt idx="0">
                  <c:v>满意度</c:v>
                </c:pt>
              </c:strCache>
            </c:strRef>
          </c:tx>
          <c:spPr>
            <a:solidFill>
              <a:srgbClr val="0F6FC6"/>
            </a:solidFill>
            <a:ln>
              <a:noFill/>
            </a:ln>
            <a:effectLst/>
          </c:spPr>
          <c:invertIfNegative val="1"/>
          <c:dLbls>
            <c:delete val="1"/>
          </c:dLbls>
          <c:cat>
            <c:strRef>
              <c:f>Sheet1!$A$2:$A$5</c:f>
              <c:strCache>
                <c:ptCount val="4"/>
                <c:pt idx="0">
                  <c:v>工作总体</c:v>
                </c:pt>
                <c:pt idx="1">
                  <c:v>工作内容</c:v>
                </c:pt>
                <c:pt idx="2">
                  <c:v>职业前景</c:v>
                </c:pt>
                <c:pt idx="3">
                  <c:v>工作薪酬</c:v>
                </c:pt>
              </c:strCache>
            </c:strRef>
          </c:cat>
          <c:val>
            <c:numRef>
              <c:f>Sheet1!$B$2:$B$5</c:f>
              <c:numCache>
                <c:formatCode>0.00%</c:formatCode>
                <c:ptCount val="4"/>
                <c:pt idx="0">
                  <c:v>0.97</c:v>
                </c:pt>
                <c:pt idx="1">
                  <c:v>0.98</c:v>
                </c:pt>
                <c:pt idx="2">
                  <c:v>0.89</c:v>
                </c:pt>
                <c:pt idx="3">
                  <c:v>0.8317</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axId val="776122816"/>
        <c:axId val="776123360"/>
      </c:barChart>
      <c:lineChart>
        <c:grouping val="standard"/>
        <c:varyColors val="0"/>
        <c:ser>
          <c:idx val="1"/>
          <c:order val="1"/>
          <c:tx>
            <c:strRef>
              <c:f>Sheet1!$C$1</c:f>
              <c:strCache>
                <c:ptCount val="1"/>
                <c:pt idx="0">
                  <c:v>均值</c:v>
                </c:pt>
              </c:strCache>
            </c:strRef>
          </c:tx>
          <c:spPr>
            <a:ln w="28575" cap="rnd">
              <a:solidFill>
                <a:srgbClr val="7CCA62"/>
              </a:solidFill>
              <a:round/>
            </a:ln>
            <a:effectLst/>
          </c:spPr>
          <c:marker>
            <c:symbol val="diamond"/>
            <c:size val="5"/>
            <c:spPr>
              <a:solidFill>
                <a:srgbClr val="7CCA62"/>
              </a:solidFill>
              <a:ln w="9525">
                <a:solidFill>
                  <a:srgbClr val="7CCA62"/>
                </a:solidFill>
              </a:ln>
              <a:effectLst/>
            </c:spPr>
          </c:marker>
          <c:dLbls>
            <c:delete val="1"/>
          </c:dLbls>
          <c:cat>
            <c:strRef>
              <c:f>Sheet1!$A$2:$A$5</c:f>
              <c:strCache>
                <c:ptCount val="4"/>
                <c:pt idx="0">
                  <c:v>工作总体</c:v>
                </c:pt>
                <c:pt idx="1">
                  <c:v>工作内容</c:v>
                </c:pt>
                <c:pt idx="2">
                  <c:v>职业前景</c:v>
                </c:pt>
                <c:pt idx="3">
                  <c:v>工作薪酬</c:v>
                </c:pt>
              </c:strCache>
            </c:strRef>
          </c:cat>
          <c:val>
            <c:numRef>
              <c:f>Sheet1!$C$2:$C$5</c:f>
              <c:numCache>
                <c:formatCode>0.00_ </c:formatCode>
                <c:ptCount val="4"/>
                <c:pt idx="0">
                  <c:v>3.6</c:v>
                </c:pt>
                <c:pt idx="1">
                  <c:v>3.53</c:v>
                </c:pt>
                <c:pt idx="2">
                  <c:v>3.52</c:v>
                </c:pt>
                <c:pt idx="3">
                  <c:v>3.31</c:v>
                </c:pt>
              </c:numCache>
            </c:numRef>
          </c:val>
          <c:smooth val="1"/>
        </c:ser>
        <c:dLbls>
          <c:showLegendKey val="0"/>
          <c:showVal val="0"/>
          <c:showCatName val="0"/>
          <c:showSerName val="0"/>
          <c:showPercent val="0"/>
          <c:showBubbleSize val="0"/>
        </c:dLbls>
        <c:marker val="1"/>
        <c:smooth val="1"/>
        <c:axId val="776116832"/>
        <c:axId val="776116288"/>
      </c:lineChart>
      <c:catAx>
        <c:axId val="776122816"/>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776123360"/>
        <c:crosses val="autoZero"/>
        <c:auto val="1"/>
        <c:lblAlgn val="ctr"/>
        <c:lblOffset val="100"/>
        <c:noMultiLvlLbl val="0"/>
      </c:catAx>
      <c:valAx>
        <c:axId val="776123360"/>
        <c:scaling>
          <c:orientation val="minMax"/>
          <c:max val="1"/>
          <c:min val="0"/>
        </c:scaling>
        <c:delete val="0"/>
        <c:axPos val="l"/>
        <c:numFmt formatCode="0.00%" sourceLinked="0"/>
        <c:majorTickMark val="in"/>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776122816"/>
        <c:crosses val="autoZero"/>
        <c:crossBetween val="between"/>
        <c:majorUnit val="0.2"/>
      </c:valAx>
      <c:catAx>
        <c:axId val="776116832"/>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776116288"/>
        <c:crosses val="autoZero"/>
        <c:auto val="1"/>
        <c:lblAlgn val="ctr"/>
        <c:lblOffset val="100"/>
        <c:noMultiLvlLbl val="0"/>
      </c:catAx>
      <c:valAx>
        <c:axId val="776116288"/>
        <c:scaling>
          <c:orientation val="minMax"/>
          <c:max val="5"/>
        </c:scaling>
        <c:delete val="0"/>
        <c:axPos val="r"/>
        <c:numFmt formatCode="0.00_ " sourceLinked="1"/>
        <c:majorTickMark val="out"/>
        <c:minorTickMark val="in"/>
        <c:tickLblPos val="nextTo"/>
        <c:spPr>
          <a:noFill/>
          <a:ln>
            <a:solidFill>
              <a:sysClr val="window" lastClr="FFFFFF">
                <a:lumMod val="50000"/>
              </a:sysClr>
            </a:solid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776116832"/>
        <c:crosses val="max"/>
        <c:crossBetween val="between"/>
        <c:majorUnit val="1"/>
        <c:minorUnit val="0.5"/>
      </c:valAx>
      <c:dTable>
        <c:showHorzBorder val="1"/>
        <c:showVertBorder val="1"/>
        <c:showOutline val="1"/>
        <c:showKeys val="1"/>
        <c:spPr>
          <a:noFill/>
          <a:ln w="9525" cap="flat" cmpd="sng" algn="ctr">
            <a:solidFill>
              <a:sysClr val="window" lastClr="FFFFFF">
                <a:lumMod val="50000"/>
              </a:sysClr>
            </a:solidFill>
            <a:round/>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dTable>
      <c:spPr>
        <a:noFill/>
        <a:ln>
          <a:noFill/>
        </a:ln>
        <a:effectLst/>
      </c:spPr>
    </c:plotArea>
    <c:plotVisOnly val="1"/>
    <c:dispBlanksAs val="gap"/>
    <c:showDLblsOverMax val="0"/>
  </c:chart>
  <c:spPr>
    <a:solidFill>
      <a:sysClr val="window" lastClr="FFFFFF"/>
    </a:solidFill>
    <a:ln w="9525" cap="flat" cmpd="sng" algn="ctr">
      <a:solidFill>
        <a:sysClr val="window" lastClr="FFFFFF"/>
      </a:solidFill>
      <a:round/>
    </a:ln>
    <a:effectLst/>
  </c:spPr>
  <c:txPr>
    <a:bodyPr/>
    <a:lstStyle/>
    <a:p>
      <a:pPr>
        <a:defRPr lang="zh-CN">
          <a:solidFill>
            <a:sysClr val="windowText" lastClr="000000"/>
          </a:solidFill>
        </a:defRPr>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818383423990785"/>
          <c:y val="0.171543102566725"/>
          <c:w val="0.84408756197142"/>
          <c:h val="0.638143538509299"/>
        </c:manualLayout>
      </c:layout>
      <c:barChart>
        <c:barDir val="col"/>
        <c:grouping val="clustered"/>
        <c:varyColors val="0"/>
        <c:ser>
          <c:idx val="2"/>
          <c:order val="0"/>
          <c:tx>
            <c:strRef>
              <c:f>Sheet1!$B$1</c:f>
              <c:strCache>
                <c:ptCount val="1"/>
                <c:pt idx="0">
                  <c:v>本校2022届本科毕业生</c:v>
                </c:pt>
              </c:strCache>
            </c:strRef>
          </c:tx>
          <c:spPr>
            <a:solidFill>
              <a:srgbClr val="1F497D">
                <a:lumMod val="40000"/>
                <a:lumOff val="60000"/>
              </a:srgb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c:f>
              <c:strCache>
                <c:ptCount val="1"/>
                <c:pt idx="0">
                  <c:v>工作总体满意度</c:v>
                </c:pt>
              </c:strCache>
            </c:strRef>
          </c:cat>
          <c:val>
            <c:numRef>
              <c:f>Sheet1!$B$2</c:f>
              <c:numCache>
                <c:formatCode>0.00%</c:formatCode>
                <c:ptCount val="1"/>
                <c:pt idx="0">
                  <c:v>0.97</c:v>
                </c:pt>
              </c:numCache>
            </c:numRef>
          </c:val>
        </c:ser>
        <c:ser>
          <c:idx val="3"/>
          <c:order val="1"/>
          <c:tx>
            <c:strRef>
              <c:f>Sheet1!$C$1</c:f>
              <c:strCache>
                <c:ptCount val="1"/>
                <c:pt idx="0">
                  <c:v>全国高校2022届本科毕业生</c:v>
                </c:pt>
              </c:strCache>
            </c:strRef>
          </c:tx>
          <c:spPr>
            <a:solidFill>
              <a:srgbClr val="1F497D">
                <a:lumMod val="60000"/>
                <a:lumOff val="40000"/>
              </a:srgb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c:f>
              <c:strCache>
                <c:ptCount val="1"/>
                <c:pt idx="0">
                  <c:v>工作总体满意度</c:v>
                </c:pt>
              </c:strCache>
            </c:strRef>
          </c:cat>
          <c:val>
            <c:numRef>
              <c:f>Sheet1!$C$2</c:f>
              <c:numCache>
                <c:formatCode>0.00%</c:formatCode>
                <c:ptCount val="1"/>
                <c:pt idx="0">
                  <c:v>0.9196</c:v>
                </c:pt>
              </c:numCache>
            </c:numRef>
          </c:val>
        </c:ser>
        <c:dLbls>
          <c:showLegendKey val="0"/>
          <c:showVal val="1"/>
          <c:showCatName val="0"/>
          <c:showSerName val="0"/>
          <c:showPercent val="0"/>
          <c:showBubbleSize val="0"/>
        </c:dLbls>
        <c:gapWidth val="269"/>
        <c:overlap val="-15"/>
        <c:axId val="608998768"/>
        <c:axId val="608999160"/>
      </c:barChart>
      <c:catAx>
        <c:axId val="608998768"/>
        <c:scaling>
          <c:orientation val="minMax"/>
        </c:scaling>
        <c:delete val="0"/>
        <c:axPos val="b"/>
        <c:numFmt formatCode="General" sourceLinked="1"/>
        <c:majorTickMark val="none"/>
        <c:minorTickMark val="none"/>
        <c:tickLblPos val="nextTo"/>
        <c:spPr>
          <a:noFill/>
          <a:ln w="12700" cap="flat" cmpd="sng" algn="ctr">
            <a:solidFill>
              <a:sysClr val="window" lastClr="FFFFFF">
                <a:lumMod val="50000"/>
              </a:sysClr>
            </a:solidFill>
            <a:prstDash val="solid"/>
            <a:round/>
          </a:ln>
        </c:spPr>
        <c:txPr>
          <a:bodyPr rot="0" spcFirstLastPara="1" vertOverflow="ellipsis" vert="horz" wrap="square" anchor="ctr" anchorCtr="1"/>
          <a:lstStyle/>
          <a:p>
            <a:pPr>
              <a:defRPr lang="zh-CN" sz="900" b="0" i="0" u="none" strike="noStrike" kern="1200" baseline="0">
                <a:solidFill>
                  <a:sysClr val="window" lastClr="FFFFFF"/>
                </a:solidFill>
                <a:latin typeface="+mn-lt"/>
                <a:ea typeface="+mn-ea"/>
                <a:cs typeface="+mn-cs"/>
              </a:defRPr>
            </a:pPr>
          </a:p>
        </c:txPr>
        <c:crossAx val="608999160"/>
        <c:crosses val="autoZero"/>
        <c:auto val="1"/>
        <c:lblAlgn val="ctr"/>
        <c:lblOffset val="100"/>
        <c:noMultiLvlLbl val="0"/>
      </c:catAx>
      <c:valAx>
        <c:axId val="608999160"/>
        <c:scaling>
          <c:orientation val="minMax"/>
          <c:max val="1"/>
          <c:min val="0"/>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608998768"/>
        <c:crosses val="autoZero"/>
        <c:crossBetween val="between"/>
        <c:majorUnit val="1000"/>
      </c:valAx>
      <c:spPr>
        <a:noFill/>
        <a:ln>
          <a:noFill/>
        </a:ln>
      </c:spPr>
    </c:plotArea>
    <c:legend>
      <c:legendPos val="b"/>
      <c:layout>
        <c:manualLayout>
          <c:xMode val="edge"/>
          <c:yMode val="edge"/>
          <c:x val="0.135541393774376"/>
          <c:y val="0.807739113256004"/>
          <c:w val="0.753704662274492"/>
          <c:h val="0.160448936420261"/>
        </c:manualLayout>
      </c:layout>
      <c:overlay val="0"/>
      <c:spPr>
        <a:noFill/>
        <a:ln>
          <a:noFill/>
        </a:ln>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gap"/>
    <c:showDLblsOverMax val="0"/>
  </c:chart>
  <c:spPr>
    <a:solidFill>
      <a:sysClr val="window" lastClr="FFFFFF"/>
    </a:solidFill>
    <a:ln w="9525" cap="flat" cmpd="sng" algn="ctr">
      <a:noFill/>
      <a:prstDash val="solid"/>
      <a:round/>
    </a:ln>
  </c:spPr>
  <c:txPr>
    <a:bodyPr/>
    <a:lstStyle/>
    <a:p>
      <a:pPr>
        <a:defRPr lang="zh-CN">
          <a:solidFill>
            <a:sysClr val="windowText" lastClr="000000"/>
          </a:solidFill>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rPr lang="zh-CN" altLang="en-US"/>
              <a:t>毕业生省内生源结构</a:t>
            </a:r>
            <a:endParaRPr lang="zh-CN" altLang="en-US"/>
          </a:p>
        </c:rich>
      </c:tx>
      <c:layout/>
      <c:overlay val="0"/>
      <c:spPr>
        <a:noFill/>
        <a:ln>
          <a:noFill/>
        </a:ln>
        <a:effectLst/>
      </c:spPr>
    </c:title>
    <c:autoTitleDeleted val="0"/>
    <c:plotArea>
      <c:layout/>
      <c:barChart>
        <c:barDir val="col"/>
        <c:grouping val="clustered"/>
        <c:varyColors val="0"/>
        <c:ser>
          <c:idx val="0"/>
          <c:order val="0"/>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XLSX 工作表.xlsx]Sheet1'!$A$1:$A$19</c:f>
              <c:strCache>
                <c:ptCount val="19"/>
                <c:pt idx="0">
                  <c:v>海口市</c:v>
                </c:pt>
                <c:pt idx="1">
                  <c:v>儋州市</c:v>
                </c:pt>
                <c:pt idx="2">
                  <c:v>乐东黎族自治县</c:v>
                </c:pt>
                <c:pt idx="3">
                  <c:v>东方市</c:v>
                </c:pt>
                <c:pt idx="4">
                  <c:v>万宁市</c:v>
                </c:pt>
                <c:pt idx="5">
                  <c:v>三亚市</c:v>
                </c:pt>
                <c:pt idx="6">
                  <c:v>临高县</c:v>
                </c:pt>
                <c:pt idx="7">
                  <c:v>澄迈县</c:v>
                </c:pt>
                <c:pt idx="8">
                  <c:v>文昌市</c:v>
                </c:pt>
                <c:pt idx="9">
                  <c:v>陵水黎族自治县</c:v>
                </c:pt>
                <c:pt idx="10">
                  <c:v>定安县</c:v>
                </c:pt>
                <c:pt idx="11">
                  <c:v>琼海市</c:v>
                </c:pt>
                <c:pt idx="12">
                  <c:v>昌江黎族自治县</c:v>
                </c:pt>
                <c:pt idx="13">
                  <c:v>屯昌县</c:v>
                </c:pt>
                <c:pt idx="14">
                  <c:v>琼中黎族苗族自治县</c:v>
                </c:pt>
                <c:pt idx="15">
                  <c:v>白沙黎族自治县</c:v>
                </c:pt>
                <c:pt idx="16">
                  <c:v>五指山市</c:v>
                </c:pt>
                <c:pt idx="17">
                  <c:v>保亭黎族苗族自治县</c:v>
                </c:pt>
                <c:pt idx="18">
                  <c:v>三沙市</c:v>
                </c:pt>
              </c:strCache>
            </c:strRef>
          </c:cat>
          <c:val>
            <c:numRef>
              <c:f>'[新建 XLSX 工作表.xlsx]Sheet1'!$B$1:$B$19</c:f>
              <c:numCache>
                <c:formatCode>General</c:formatCode>
                <c:ptCount val="19"/>
                <c:pt idx="0">
                  <c:v>486</c:v>
                </c:pt>
                <c:pt idx="1">
                  <c:v>444</c:v>
                </c:pt>
                <c:pt idx="2">
                  <c:v>311</c:v>
                </c:pt>
                <c:pt idx="3">
                  <c:v>250</c:v>
                </c:pt>
                <c:pt idx="4">
                  <c:v>228</c:v>
                </c:pt>
                <c:pt idx="5">
                  <c:v>188</c:v>
                </c:pt>
                <c:pt idx="6">
                  <c:v>175</c:v>
                </c:pt>
                <c:pt idx="7">
                  <c:v>152</c:v>
                </c:pt>
                <c:pt idx="8">
                  <c:v>143</c:v>
                </c:pt>
                <c:pt idx="9">
                  <c:v>130</c:v>
                </c:pt>
                <c:pt idx="10">
                  <c:v>125</c:v>
                </c:pt>
                <c:pt idx="11">
                  <c:v>112</c:v>
                </c:pt>
                <c:pt idx="12">
                  <c:v>104</c:v>
                </c:pt>
                <c:pt idx="13">
                  <c:v>96</c:v>
                </c:pt>
                <c:pt idx="14">
                  <c:v>95</c:v>
                </c:pt>
                <c:pt idx="15">
                  <c:v>92</c:v>
                </c:pt>
                <c:pt idx="16">
                  <c:v>66</c:v>
                </c:pt>
                <c:pt idx="17">
                  <c:v>60</c:v>
                </c:pt>
                <c:pt idx="18">
                  <c:v>2</c:v>
                </c:pt>
              </c:numCache>
            </c:numRef>
          </c:val>
        </c:ser>
        <c:dLbls>
          <c:showLegendKey val="0"/>
          <c:showVal val="1"/>
          <c:showCatName val="0"/>
          <c:showSerName val="0"/>
          <c:showPercent val="0"/>
          <c:showBubbleSize val="0"/>
        </c:dLbls>
        <c:gapWidth val="246"/>
        <c:overlap val="-28"/>
        <c:axId val="406315536"/>
        <c:axId val="423211180"/>
      </c:barChart>
      <c:catAx>
        <c:axId val="4063155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23211180"/>
        <c:crosses val="autoZero"/>
        <c:auto val="1"/>
        <c:lblAlgn val="ctr"/>
        <c:lblOffset val="100"/>
        <c:noMultiLvlLbl val="0"/>
      </c:catAx>
      <c:valAx>
        <c:axId val="423211180"/>
        <c:scaling>
          <c:orientation val="minMax"/>
        </c:scaling>
        <c:delete val="0"/>
        <c:axPos val="l"/>
        <c:majorGridlines>
          <c:spPr>
            <a:ln w="9525" cap="flat" cmpd="sng" algn="ctr">
              <a:solidFill>
                <a:schemeClr val="bg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631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5319966447493"/>
          <c:y val="0.133353113469512"/>
          <c:w val="0.413626580259557"/>
          <c:h val="0.843438548442314"/>
        </c:manualLayout>
      </c:layout>
      <c:pieChart>
        <c:varyColors val="1"/>
        <c:ser>
          <c:idx val="0"/>
          <c:order val="0"/>
          <c:tx>
            <c:strRef>
              <c:f>Sheet1!$B$1</c:f>
              <c:strCache>
                <c:ptCount val="1"/>
                <c:pt idx="0">
                  <c:v>占比</c:v>
                </c:pt>
              </c:strCache>
            </c:strRef>
          </c:tx>
          <c:explosion val="0"/>
          <c:dPt>
            <c:idx val="0"/>
            <c:bubble3D val="0"/>
            <c:spPr>
              <a:solidFill>
                <a:srgbClr val="0F6FC6"/>
              </a:solidFill>
              <a:ln w="19050">
                <a:solidFill>
                  <a:sysClr val="window" lastClr="FFFFFF"/>
                </a:solidFill>
              </a:ln>
              <a:effectLst/>
            </c:spPr>
          </c:dPt>
          <c:dPt>
            <c:idx val="1"/>
            <c:bubble3D val="0"/>
            <c:spPr>
              <a:solidFill>
                <a:srgbClr val="009DD9"/>
              </a:solidFill>
              <a:ln w="19050">
                <a:solidFill>
                  <a:sysClr val="window" lastClr="FFFFFF"/>
                </a:solidFill>
              </a:ln>
              <a:effectLst/>
            </c:spPr>
          </c:dPt>
          <c:dPt>
            <c:idx val="2"/>
            <c:bubble3D val="0"/>
            <c:spPr>
              <a:solidFill>
                <a:srgbClr val="4F81BD">
                  <a:lumMod val="75000"/>
                </a:srgbClr>
              </a:solidFill>
              <a:ln w="19050">
                <a:solidFill>
                  <a:sysClr val="window" lastClr="FFFFFF"/>
                </a:solidFill>
              </a:ln>
              <a:effectLst/>
            </c:spPr>
          </c:dPt>
          <c:dPt>
            <c:idx val="3"/>
            <c:bubble3D val="0"/>
            <c:spPr>
              <a:solidFill>
                <a:srgbClr val="4F81BD">
                  <a:lumMod val="40000"/>
                  <a:lumOff val="60000"/>
                </a:srgbClr>
              </a:solidFill>
              <a:ln w="19050">
                <a:solidFill>
                  <a:sysClr val="window" lastClr="FFFFFF"/>
                </a:solidFill>
              </a:ln>
              <a:effectLst/>
            </c:spPr>
          </c:dPt>
          <c:dPt>
            <c:idx val="4"/>
            <c:bubble3D val="0"/>
            <c:spPr>
              <a:solidFill>
                <a:srgbClr val="4F81BD">
                  <a:lumMod val="60000"/>
                  <a:lumOff val="40000"/>
                </a:srgbClr>
              </a:solidFill>
              <a:ln w="19050">
                <a:solidFill>
                  <a:sysClr val="window" lastClr="FFFFFF"/>
                </a:solidFill>
              </a:ln>
              <a:effectLst/>
            </c:spPr>
          </c:dPt>
          <c:dLbls>
            <c:dLbl>
              <c:idx val="0"/>
              <c:layout>
                <c:manualLayout>
                  <c:x val="0.0667492994033933"/>
                  <c:y val="0.0301786057230651"/>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0130530075493141"/>
                  <c:y val="-2.94906956855112e-6"/>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0443694979399476"/>
                  <c:y val="-0.0229601201787678"/>
                </c:manualLayout>
              </c:layout>
              <c:numFmt formatCode="0.00%" sourceLinked="0"/>
              <c:spPr>
                <a:noFill/>
                <a:ln>
                  <a:noFill/>
                </a:ln>
                <a:effectLst/>
              </c:spPr>
              <c:txPr>
                <a:bodyPr rot="0" spcFirstLastPara="1" vertOverflow="clip" horzOverflow="clip" vert="horz" wrap="square" lIns="36576" tIns="18288" rIns="36576" bIns="18288" anchor="ctr" anchorCtr="1">
                  <a:no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1"/>
              <c:showCatName val="1"/>
              <c:showSerName val="0"/>
              <c:showPercent val="0"/>
              <c:showBubbleSize val="0"/>
              <c:extLst>
                <c:ext xmlns:c15="http://schemas.microsoft.com/office/drawing/2012/chart" uri="{CE6537A1-D6FC-4f65-9D91-7224C49458BB}">
                  <c15:layout>
                    <c:manualLayout>
                      <c:w val="0.281511105887883"/>
                      <c:h val="0.219756474295557"/>
                    </c:manualLayout>
                  </c15:layout>
                </c:ext>
              </c:extLst>
            </c:dLbl>
            <c:dLbl>
              <c:idx val="3"/>
              <c:layout>
                <c:manualLayout>
                  <c:x val="-0.00687285223367698"/>
                  <c:y val="0.0673912530596597"/>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0.0352420966035962"/>
                  <c:y val="0.00171174255391989"/>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2517828181925"/>
                      <c:h val="0.176752649157472"/>
                    </c:manualLayout>
                  </c15:layout>
                </c:ext>
              </c:extLst>
            </c:dLbl>
            <c:numFmt formatCode="0.00%" sourceLinked="0"/>
            <c:spPr>
              <a:noFill/>
              <a:ln>
                <a:noFill/>
              </a:ln>
              <a:effectLst/>
            </c:spPr>
            <c:txPr>
              <a:bodyPr rot="0" spcFirstLastPara="1" vertOverflow="clip" horzOverflow="clip" vert="horz" wrap="square" lIns="36576" tIns="18288" rIns="36576" bIns="18288" anchor="ctr" anchorCtr="1">
                <a:sp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1"/>
            <c:showCatName val="1"/>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很符合</c:v>
                </c:pt>
                <c:pt idx="1">
                  <c:v>符合</c:v>
                </c:pt>
                <c:pt idx="2">
                  <c:v>基本符合</c:v>
                </c:pt>
                <c:pt idx="3">
                  <c:v>不符合</c:v>
                </c:pt>
                <c:pt idx="4">
                  <c:v>很不符合</c:v>
                </c:pt>
              </c:strCache>
            </c:strRef>
          </c:cat>
          <c:val>
            <c:numRef>
              <c:f>Sheet1!$B$2:$B$6</c:f>
              <c:numCache>
                <c:formatCode>0.00%</c:formatCode>
                <c:ptCount val="5"/>
                <c:pt idx="0">
                  <c:v>0.0825</c:v>
                </c:pt>
                <c:pt idx="1">
                  <c:v>0.3299</c:v>
                </c:pt>
                <c:pt idx="2">
                  <c:v>0.4227</c:v>
                </c:pt>
                <c:pt idx="3">
                  <c:v>0.1443</c:v>
                </c:pt>
                <c:pt idx="4">
                  <c:v>0.0206</c:v>
                </c:pt>
              </c:numCache>
            </c:numRef>
          </c:val>
        </c:ser>
        <c:dLbls>
          <c:showLegendKey val="0"/>
          <c:showVal val="0"/>
          <c:showCatName val="0"/>
          <c:showSerName val="0"/>
          <c:showPercent val="0"/>
          <c:showBubbleSize val="0"/>
          <c:showLeaderLines val="0"/>
        </c:dLbls>
        <c:firstSliceAng val="0"/>
      </c:pieChart>
      <c:spPr>
        <a:noFill/>
        <a:ln>
          <a:noFill/>
        </a:ln>
      </c:spPr>
    </c:plotArea>
    <c:plotVisOnly val="1"/>
    <c:dispBlanksAs val="gap"/>
    <c:showDLblsOverMax val="0"/>
  </c:chart>
  <c:spPr>
    <a:solidFill>
      <a:sysClr val="window" lastClr="FFFFFF"/>
    </a:solidFill>
    <a:ln w="9525" cap="flat" cmpd="sng" algn="ctr">
      <a:solidFill>
        <a:sysClr val="window" lastClr="FFFFFF"/>
      </a:solidFill>
      <a:prstDash val="solid"/>
      <a:round/>
    </a:ln>
  </c:spPr>
  <c:txPr>
    <a:bodyPr/>
    <a:lstStyle/>
    <a:p>
      <a:pPr>
        <a:defRPr lang="zh-CN">
          <a:solidFill>
            <a:sysClr val="windowText" lastClr="000000"/>
          </a:solidFill>
        </a:defRPr>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818383423990785"/>
          <c:y val="0.0233948292695297"/>
          <c:w val="0.84408756197142"/>
          <c:h val="0.761198980562212"/>
        </c:manualLayout>
      </c:layout>
      <c:barChart>
        <c:barDir val="col"/>
        <c:grouping val="clustered"/>
        <c:varyColors val="0"/>
        <c:ser>
          <c:idx val="2"/>
          <c:order val="0"/>
          <c:tx>
            <c:strRef>
              <c:f>Sheet1!$B$1</c:f>
              <c:strCache>
                <c:ptCount val="1"/>
                <c:pt idx="0">
                  <c:v>本校2022届本科毕业生</c:v>
                </c:pt>
              </c:strCache>
            </c:strRef>
          </c:tx>
          <c:spPr>
            <a:solidFill>
              <a:srgbClr val="1F497D">
                <a:lumMod val="40000"/>
                <a:lumOff val="60000"/>
              </a:srgb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c:f>
              <c:strCache>
                <c:ptCount val="1"/>
                <c:pt idx="0">
                  <c:v>吻合度</c:v>
                </c:pt>
              </c:strCache>
            </c:strRef>
          </c:cat>
          <c:val>
            <c:numRef>
              <c:f>Sheet1!$B$2</c:f>
              <c:numCache>
                <c:formatCode>0.00%</c:formatCode>
                <c:ptCount val="1"/>
                <c:pt idx="0">
                  <c:v>0.8351</c:v>
                </c:pt>
              </c:numCache>
            </c:numRef>
          </c:val>
        </c:ser>
        <c:ser>
          <c:idx val="3"/>
          <c:order val="1"/>
          <c:tx>
            <c:strRef>
              <c:f>Sheet1!$C$1</c:f>
              <c:strCache>
                <c:ptCount val="1"/>
                <c:pt idx="0">
                  <c:v>全国高校2022届本科毕业生</c:v>
                </c:pt>
              </c:strCache>
            </c:strRef>
          </c:tx>
          <c:spPr>
            <a:solidFill>
              <a:srgbClr val="4F81BD">
                <a:lumMod val="40000"/>
                <a:lumOff val="60000"/>
              </a:srgb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c:f>
              <c:strCache>
                <c:ptCount val="1"/>
                <c:pt idx="0">
                  <c:v>吻合度</c:v>
                </c:pt>
              </c:strCache>
            </c:strRef>
          </c:cat>
          <c:val>
            <c:numRef>
              <c:f>Sheet1!$C$2</c:f>
              <c:numCache>
                <c:formatCode>0.00%</c:formatCode>
                <c:ptCount val="1"/>
                <c:pt idx="0">
                  <c:v>0.8693</c:v>
                </c:pt>
              </c:numCache>
            </c:numRef>
          </c:val>
        </c:ser>
        <c:dLbls>
          <c:showLegendKey val="0"/>
          <c:showVal val="1"/>
          <c:showCatName val="0"/>
          <c:showSerName val="0"/>
          <c:showPercent val="0"/>
          <c:showBubbleSize val="0"/>
        </c:dLbls>
        <c:gapWidth val="269"/>
        <c:overlap val="-15"/>
        <c:axId val="608998768"/>
        <c:axId val="608999160"/>
      </c:barChart>
      <c:catAx>
        <c:axId val="608998768"/>
        <c:scaling>
          <c:orientation val="minMax"/>
        </c:scaling>
        <c:delete val="0"/>
        <c:axPos val="b"/>
        <c:numFmt formatCode="General" sourceLinked="1"/>
        <c:majorTickMark val="none"/>
        <c:minorTickMark val="none"/>
        <c:tickLblPos val="nextTo"/>
        <c:spPr>
          <a:noFill/>
          <a:ln w="12700" cap="flat" cmpd="sng" algn="ctr">
            <a:solidFill>
              <a:sysClr val="window" lastClr="FFFFFF">
                <a:lumMod val="50000"/>
              </a:sysClr>
            </a:solidFill>
            <a:prstDash val="solid"/>
            <a:round/>
          </a:ln>
        </c:spPr>
        <c:txPr>
          <a:bodyPr rot="0" spcFirstLastPara="1" vertOverflow="ellipsis" vert="horz" wrap="square" anchor="ctr" anchorCtr="1"/>
          <a:lstStyle/>
          <a:p>
            <a:pPr>
              <a:defRPr lang="zh-CN" sz="900" b="0" i="0" u="none" strike="noStrike" kern="1200" baseline="0">
                <a:solidFill>
                  <a:sysClr val="window" lastClr="FFFFFF"/>
                </a:solidFill>
                <a:latin typeface="+mn-lt"/>
                <a:ea typeface="+mn-ea"/>
                <a:cs typeface="+mn-cs"/>
              </a:defRPr>
            </a:pPr>
          </a:p>
        </c:txPr>
        <c:crossAx val="608999160"/>
        <c:crosses val="autoZero"/>
        <c:auto val="1"/>
        <c:lblAlgn val="ctr"/>
        <c:lblOffset val="100"/>
        <c:noMultiLvlLbl val="0"/>
      </c:catAx>
      <c:valAx>
        <c:axId val="608999160"/>
        <c:scaling>
          <c:orientation val="minMax"/>
          <c:max val="1"/>
          <c:min val="0"/>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608998768"/>
        <c:crosses val="autoZero"/>
        <c:crossBetween val="between"/>
        <c:majorUnit val="1000"/>
      </c:valAx>
      <c:spPr>
        <a:noFill/>
        <a:ln>
          <a:noFill/>
        </a:ln>
      </c:spPr>
    </c:plotArea>
    <c:legend>
      <c:legendPos val="b"/>
      <c:layout>
        <c:manualLayout>
          <c:xMode val="edge"/>
          <c:yMode val="edge"/>
          <c:x val="0.121003973940406"/>
          <c:y val="0.808997426046382"/>
          <c:w val="0.810954003883843"/>
          <c:h val="0.160448936420261"/>
        </c:manualLayout>
      </c:layout>
      <c:overlay val="0"/>
      <c:spPr>
        <a:noFill/>
        <a:ln>
          <a:noFill/>
        </a:ln>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gap"/>
    <c:showDLblsOverMax val="0"/>
  </c:chart>
  <c:spPr>
    <a:solidFill>
      <a:sysClr val="window" lastClr="FFFFFF"/>
    </a:solidFill>
    <a:ln w="9525" cap="flat" cmpd="sng" algn="ctr">
      <a:noFill/>
      <a:prstDash val="solid"/>
      <a:round/>
    </a:ln>
  </c:spPr>
  <c:txPr>
    <a:bodyPr/>
    <a:lstStyle/>
    <a:p>
      <a:pPr>
        <a:defRPr lang="zh-CN">
          <a:solidFill>
            <a:sysClr val="windowText" lastClr="000000"/>
          </a:solidFill>
        </a:defRPr>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8980714367226"/>
          <c:y val="0.110499787694183"/>
          <c:w val="0.505320834895638"/>
          <c:h val="0.889500212305817"/>
        </c:manualLayout>
      </c:layout>
      <c:pieChart>
        <c:varyColors val="1"/>
        <c:ser>
          <c:idx val="0"/>
          <c:order val="0"/>
          <c:tx>
            <c:strRef>
              <c:f>Sheet1!$B$1</c:f>
              <c:strCache>
                <c:ptCount val="1"/>
                <c:pt idx="0">
                  <c:v>占比</c:v>
                </c:pt>
              </c:strCache>
            </c:strRef>
          </c:tx>
          <c:explosion val="0"/>
          <c:dPt>
            <c:idx val="0"/>
            <c:bubble3D val="0"/>
            <c:spPr>
              <a:solidFill>
                <a:srgbClr val="0F6FC6"/>
              </a:solidFill>
              <a:ln>
                <a:solidFill>
                  <a:sysClr val="window" lastClr="FFFFFF"/>
                </a:solidFill>
              </a:ln>
              <a:effectLst/>
            </c:spPr>
          </c:dPt>
          <c:dPt>
            <c:idx val="1"/>
            <c:bubble3D val="0"/>
            <c:spPr>
              <a:solidFill>
                <a:srgbClr val="009DD9"/>
              </a:solidFill>
              <a:ln>
                <a:solidFill>
                  <a:sysClr val="window" lastClr="FFFFFF"/>
                </a:solidFill>
              </a:ln>
              <a:effectLst/>
            </c:spPr>
          </c:dPt>
          <c:dPt>
            <c:idx val="2"/>
            <c:bubble3D val="0"/>
            <c:spPr>
              <a:solidFill>
                <a:srgbClr val="1F497D">
                  <a:lumMod val="40000"/>
                  <a:lumOff val="60000"/>
                </a:srgbClr>
              </a:solidFill>
              <a:ln>
                <a:solidFill>
                  <a:sysClr val="window" lastClr="FFFFFF"/>
                </a:solidFill>
              </a:ln>
              <a:effectLst/>
            </c:spPr>
          </c:dPt>
          <c:dPt>
            <c:idx val="3"/>
            <c:bubble3D val="0"/>
            <c:spPr>
              <a:solidFill>
                <a:srgbClr val="4F81BD">
                  <a:lumMod val="20000"/>
                  <a:lumOff val="80000"/>
                </a:srgbClr>
              </a:solidFill>
              <a:ln>
                <a:solidFill>
                  <a:sysClr val="window" lastClr="FFFFFF"/>
                </a:solidFill>
              </a:ln>
              <a:effectLst/>
            </c:spPr>
          </c:dPt>
          <c:dLbls>
            <c:dLbl>
              <c:idx val="0"/>
              <c:layout/>
              <c:tx>
                <c:rich>
                  <a:bodyPr rot="0" spcFirstLastPara="1" vertOverflow="ellipsis" vert="horz" wrap="square" lIns="38100" tIns="19050" rIns="38100" bIns="19050" anchor="ctr" anchorCtr="1">
                    <a:noAutofit/>
                  </a:bodyPr>
                  <a:lstStyle/>
                  <a:p>
                    <a:fld id="{e68cfc06-131e-4f22-a9e8-edaf60eb9f1d}" type="CATEGORYNAME">
                      <a:t>[CATEGORY NAME]</a:t>
                    </a:fld>
                    <a:r>
                      <a:t>,</a:t>
                    </a:r>
                    <a:fld id="{f458ae47-b180-4373-a03d-cbfd6e3f2a74}" type="VALUE">
                      <a:t>[VALUE]</a:t>
                    </a:fld>
                    <a:endParaRPr lang="en-US" altLang="zh-CN" b="0" i="0" u="none" strike="noStrike" baseline="0">
                      <a:latin typeface="Times New Roman" panose="02020603050405020304" charset="0"/>
                      <a:ea typeface="Times New Roman" panose="02020603050405020304" charset="0"/>
                      <a:cs typeface="+mn-ea"/>
                    </a:endParaRPr>
                  </a:p>
                </c:rich>
              </c:tx>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1"/>
              <c:showSerName val="0"/>
              <c:showPercent val="0"/>
              <c:showBubbleSize val="0"/>
              <c:extLst>
                <c:ext xmlns:c15="http://schemas.microsoft.com/office/drawing/2012/chart" uri="{CE6537A1-D6FC-4f65-9D91-7224C49458BB}"/>
              </c:extLst>
            </c:dLbl>
            <c:dLbl>
              <c:idx val="3"/>
              <c:layout>
                <c:manualLayout>
                  <c:x val="0.211111111111111"/>
                  <c:y val="3.1878606267334e-7"/>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1000" b="0" i="0" u="none" strike="noStrike" kern="1200" baseline="0">
                      <a:solidFill>
                        <a:sysClr val="windowText" lastClr="000000"/>
                      </a:solidFill>
                      <a:latin typeface="+mn-lt"/>
                      <a:ea typeface="+mn-ea"/>
                      <a:cs typeface="+mn-cs"/>
                    </a:defRPr>
                  </a:pPr>
                </a:p>
              </c:txPr>
              <c:dLblPos val="bestFit"/>
              <c:showLegendKey val="0"/>
              <c:showVal val="1"/>
              <c:showCatName val="1"/>
              <c:showSerName val="0"/>
              <c:showPercent val="0"/>
              <c:showBubbleSize val="0"/>
              <c:extLst>
                <c:ext xmlns:c15="http://schemas.microsoft.com/office/drawing/2012/chart" uri="{CE6537A1-D6FC-4f65-9D91-7224C49458BB}">
                  <c15:layout>
                    <c:manualLayout>
                      <c:w val="0.357349081364829"/>
                      <c:h val="0.157585917854149"/>
                    </c:manualLayout>
                  </c15:layout>
                </c:ext>
              </c:extLst>
            </c:dLbl>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1"/>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0次</c:v>
                </c:pt>
                <c:pt idx="1">
                  <c:v>1次</c:v>
                </c:pt>
                <c:pt idx="2">
                  <c:v>2次</c:v>
                </c:pt>
                <c:pt idx="3">
                  <c:v>3次及以上</c:v>
                </c:pt>
              </c:strCache>
            </c:strRef>
          </c:cat>
          <c:val>
            <c:numRef>
              <c:f>Sheet1!$B$2:$B$5</c:f>
              <c:numCache>
                <c:formatCode>0.00%</c:formatCode>
                <c:ptCount val="4"/>
                <c:pt idx="0">
                  <c:v>0.7863</c:v>
                </c:pt>
                <c:pt idx="1">
                  <c:v>0.1189</c:v>
                </c:pt>
                <c:pt idx="2">
                  <c:v>0.0737</c:v>
                </c:pt>
                <c:pt idx="3">
                  <c:v>0.0211</c:v>
                </c:pt>
              </c:numCache>
            </c:numRef>
          </c:val>
        </c:ser>
        <c:dLbls>
          <c:showLegendKey val="0"/>
          <c:showVal val="0"/>
          <c:showCatName val="0"/>
          <c:showSerName val="0"/>
          <c:showPercent val="0"/>
          <c:showBubbleSize val="0"/>
          <c:showLeaderLines val="0"/>
        </c:dLbls>
        <c:firstSliceAng val="0"/>
      </c:pieChart>
      <c:spPr>
        <a:noFill/>
        <a:ln>
          <a:noFill/>
        </a:ln>
      </c:spPr>
    </c:plotArea>
    <c:plotVisOnly val="1"/>
    <c:dispBlanksAs val="zero"/>
    <c:showDLblsOverMax val="0"/>
  </c:chart>
  <c:spPr>
    <a:solidFill>
      <a:sysClr val="window" lastClr="FFFFFF"/>
    </a:solidFill>
    <a:ln w="9525" cap="flat" cmpd="sng" algn="ctr">
      <a:noFill/>
      <a:prstDash val="solid"/>
      <a:round/>
    </a:ln>
  </c:spPr>
  <c:txPr>
    <a:bodyPr/>
    <a:lstStyle/>
    <a:p>
      <a:pPr>
        <a:defRPr lang="zh-CN"/>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818383423990785"/>
          <c:y val="0.0422518339053772"/>
          <c:w val="0.84408756197142"/>
          <c:h val="0.774652399219328"/>
        </c:manualLayout>
      </c:layout>
      <c:barChart>
        <c:barDir val="col"/>
        <c:grouping val="clustered"/>
        <c:varyColors val="0"/>
        <c:ser>
          <c:idx val="2"/>
          <c:order val="0"/>
          <c:tx>
            <c:strRef>
              <c:f>Sheet1!$B$1</c:f>
              <c:strCache>
                <c:ptCount val="1"/>
                <c:pt idx="0">
                  <c:v>本校2022届本科毕业生</c:v>
                </c:pt>
              </c:strCache>
            </c:strRef>
          </c:tx>
          <c:spPr>
            <a:solidFill>
              <a:srgbClr val="1F497D">
                <a:lumMod val="60000"/>
                <a:lumOff val="40000"/>
              </a:srgb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c:f>
              <c:strCache>
                <c:ptCount val="1"/>
                <c:pt idx="0">
                  <c:v>离职率</c:v>
                </c:pt>
              </c:strCache>
            </c:strRef>
          </c:cat>
          <c:val>
            <c:numRef>
              <c:f>Sheet1!$B$2</c:f>
              <c:numCache>
                <c:formatCode>0.00%</c:formatCode>
                <c:ptCount val="1"/>
                <c:pt idx="0">
                  <c:v>0.2137</c:v>
                </c:pt>
              </c:numCache>
            </c:numRef>
          </c:val>
        </c:ser>
        <c:ser>
          <c:idx val="3"/>
          <c:order val="1"/>
          <c:tx>
            <c:strRef>
              <c:f>Sheet1!$C$1</c:f>
              <c:strCache>
                <c:ptCount val="1"/>
                <c:pt idx="0">
                  <c:v>全国高校2022届本科毕业生</c:v>
                </c:pt>
              </c:strCache>
            </c:strRef>
          </c:tx>
          <c:spPr>
            <a:solidFill>
              <a:srgbClr val="1F497D">
                <a:lumMod val="40000"/>
                <a:lumOff val="60000"/>
              </a:srgbClr>
            </a:solidFill>
          </c:spPr>
          <c:invertIfNegative val="0"/>
          <c:dPt>
            <c:idx val="0"/>
            <c:invertIfNegative val="0"/>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c:f>
              <c:strCache>
                <c:ptCount val="1"/>
                <c:pt idx="0">
                  <c:v>离职率</c:v>
                </c:pt>
              </c:strCache>
            </c:strRef>
          </c:cat>
          <c:val>
            <c:numRef>
              <c:f>Sheet1!$C$2</c:f>
              <c:numCache>
                <c:formatCode>0.00%</c:formatCode>
                <c:ptCount val="1"/>
                <c:pt idx="0">
                  <c:v>0.176</c:v>
                </c:pt>
              </c:numCache>
            </c:numRef>
          </c:val>
        </c:ser>
        <c:dLbls>
          <c:showLegendKey val="0"/>
          <c:showVal val="1"/>
          <c:showCatName val="0"/>
          <c:showSerName val="0"/>
          <c:showPercent val="0"/>
          <c:showBubbleSize val="0"/>
        </c:dLbls>
        <c:gapWidth val="269"/>
        <c:overlap val="-15"/>
        <c:axId val="608998768"/>
        <c:axId val="608999160"/>
      </c:barChart>
      <c:catAx>
        <c:axId val="608998768"/>
        <c:scaling>
          <c:orientation val="minMax"/>
        </c:scaling>
        <c:delete val="0"/>
        <c:axPos val="b"/>
        <c:numFmt formatCode="General" sourceLinked="1"/>
        <c:majorTickMark val="none"/>
        <c:minorTickMark val="none"/>
        <c:tickLblPos val="nextTo"/>
        <c:spPr>
          <a:noFill/>
          <a:ln w="12700" cap="flat" cmpd="sng" algn="ctr">
            <a:solidFill>
              <a:sysClr val="window" lastClr="FFFFFF">
                <a:lumMod val="50000"/>
              </a:sysClr>
            </a:solidFill>
            <a:prstDash val="solid"/>
            <a:round/>
          </a:ln>
        </c:spPr>
        <c:txPr>
          <a:bodyPr rot="0" spcFirstLastPara="1" vertOverflow="ellipsis" vert="horz" wrap="square" anchor="ctr" anchorCtr="1"/>
          <a:lstStyle/>
          <a:p>
            <a:pPr>
              <a:defRPr lang="zh-CN" sz="900" b="0" i="0" u="none" strike="noStrike" kern="1200" baseline="0">
                <a:solidFill>
                  <a:sysClr val="window" lastClr="FFFFFF"/>
                </a:solidFill>
                <a:latin typeface="+mn-lt"/>
                <a:ea typeface="+mn-ea"/>
                <a:cs typeface="+mn-cs"/>
              </a:defRPr>
            </a:pPr>
          </a:p>
        </c:txPr>
        <c:crossAx val="608999160"/>
        <c:crosses val="autoZero"/>
        <c:auto val="1"/>
        <c:lblAlgn val="ctr"/>
        <c:lblOffset val="100"/>
        <c:noMultiLvlLbl val="0"/>
      </c:catAx>
      <c:valAx>
        <c:axId val="608999160"/>
        <c:scaling>
          <c:orientation val="minMax"/>
          <c:max val="0.3"/>
          <c:min val="0"/>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608998768"/>
        <c:crosses val="autoZero"/>
        <c:crossBetween val="between"/>
        <c:majorUnit val="1000"/>
      </c:valAx>
      <c:spPr>
        <a:noFill/>
        <a:ln>
          <a:noFill/>
        </a:ln>
      </c:spPr>
    </c:plotArea>
    <c:legend>
      <c:legendPos val="b"/>
      <c:layout>
        <c:manualLayout>
          <c:xMode val="edge"/>
          <c:yMode val="edge"/>
          <c:x val="0.112787979301449"/>
          <c:y val="0.831521636718487"/>
          <c:w val="0.813608672050322"/>
          <c:h val="0.148410615339749"/>
        </c:manualLayout>
      </c:layout>
      <c:overlay val="0"/>
      <c:spPr>
        <a:noFill/>
        <a:ln>
          <a:noFill/>
        </a:ln>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gap"/>
    <c:showDLblsOverMax val="0"/>
  </c:chart>
  <c:spPr>
    <a:solidFill>
      <a:sysClr val="window" lastClr="FFFFFF"/>
    </a:solidFill>
    <a:ln w="9525" cap="flat" cmpd="sng" algn="ctr">
      <a:noFill/>
      <a:prstDash val="solid"/>
      <a:round/>
    </a:ln>
  </c:spPr>
  <c:txPr>
    <a:bodyPr/>
    <a:lstStyle/>
    <a:p>
      <a:pPr>
        <a:defRPr lang="zh-CN">
          <a:solidFill>
            <a:sysClr val="windowText" lastClr="000000"/>
          </a:solidFill>
        </a:defRPr>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8599945949166"/>
          <c:y val="0.0163854801168723"/>
          <c:w val="0.617121973677341"/>
          <c:h val="0.949013987580821"/>
        </c:manualLayout>
      </c:layout>
      <c:barChart>
        <c:barDir val="bar"/>
        <c:grouping val="clustered"/>
        <c:varyColors val="0"/>
        <c:ser>
          <c:idx val="0"/>
          <c:order val="0"/>
          <c:tx>
            <c:strRef>
              <c:f>Sheet1!$B$1</c:f>
              <c:strCache>
                <c:ptCount val="1"/>
                <c:pt idx="0">
                  <c:v>1</c:v>
                </c:pt>
              </c:strCache>
            </c:strRef>
          </c:tx>
          <c:spPr>
            <a:solidFill>
              <a:srgbClr val="0F6FC6"/>
            </a:solidFill>
            <a:ln>
              <a:solidFill>
                <a:srgbClr val="0F6FC6"/>
              </a:solidFill>
            </a:ln>
            <a:effectLst/>
          </c:spPr>
          <c:invertIfNegative val="0"/>
          <c:dPt>
            <c:idx val="0"/>
            <c:invertIfNegative val="0"/>
            <c:bubble3D val="0"/>
            <c:spPr>
              <a:solidFill>
                <a:srgbClr val="0F6FC6"/>
              </a:solidFill>
              <a:ln>
                <a:solidFill>
                  <a:srgbClr val="0F6FC6"/>
                </a:solidFill>
              </a:ln>
              <a:effectLst/>
            </c:spPr>
          </c:dPt>
          <c:dPt>
            <c:idx val="1"/>
            <c:invertIfNegative val="0"/>
            <c:bubble3D val="0"/>
            <c:spPr>
              <a:solidFill>
                <a:srgbClr val="0F6FC6"/>
              </a:solidFill>
              <a:ln>
                <a:solidFill>
                  <a:srgbClr val="0F6FC6"/>
                </a:solidFill>
              </a:ln>
              <a:effectLst/>
            </c:spPr>
          </c:dPt>
          <c:dPt>
            <c:idx val="2"/>
            <c:invertIfNegative val="0"/>
            <c:bubble3D val="0"/>
            <c:spPr>
              <a:solidFill>
                <a:srgbClr val="0F6FC6"/>
              </a:solidFill>
              <a:ln>
                <a:solidFill>
                  <a:srgbClr val="0F6FC6"/>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ysClr val="windowText" lastClr="000000">
                          <a:shade val="95000"/>
                          <a:satMod val="105000"/>
                        </a:sysClr>
                      </a:solidFill>
                      <a:prstDash val="solid"/>
                      <a:round/>
                    </a:ln>
                    <a:effectLst/>
                  </c:spPr>
                </c15:leaderLines>
              </c:ext>
            </c:extLst>
          </c:dLbls>
          <c:cat>
            <c:strRef>
              <c:f>Sheet1!$A$2:$A$7</c:f>
              <c:strCache>
                <c:ptCount val="6"/>
                <c:pt idx="0">
                  <c:v>工作内容不喜欢</c:v>
                </c:pt>
                <c:pt idx="1">
                  <c:v>工作单位倒闭</c:v>
                </c:pt>
                <c:pt idx="2">
                  <c:v>发展前景有限</c:v>
                </c:pt>
                <c:pt idx="3">
                  <c:v>单位氛围不好</c:v>
                </c:pt>
                <c:pt idx="4">
                  <c:v>工资福利较差</c:v>
                </c:pt>
                <c:pt idx="5">
                  <c:v>其他</c:v>
                </c:pt>
              </c:strCache>
            </c:strRef>
          </c:cat>
          <c:val>
            <c:numRef>
              <c:f>Sheet1!$B$2:$B$7</c:f>
              <c:numCache>
                <c:formatCode>0.00%</c:formatCode>
                <c:ptCount val="6"/>
                <c:pt idx="0">
                  <c:v>0.1154</c:v>
                </c:pt>
                <c:pt idx="1">
                  <c:v>0.1154</c:v>
                </c:pt>
                <c:pt idx="2">
                  <c:v>0.1538</c:v>
                </c:pt>
                <c:pt idx="3">
                  <c:v>0.1538</c:v>
                </c:pt>
                <c:pt idx="4">
                  <c:v>0.1923</c:v>
                </c:pt>
                <c:pt idx="5">
                  <c:v>0.2692</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972182824"/>
        <c:crosses val="autoZero"/>
        <c:auto val="1"/>
        <c:lblAlgn val="ctr"/>
        <c:lblOffset val="100"/>
        <c:noMultiLvlLbl val="0"/>
      </c:catAx>
      <c:valAx>
        <c:axId val="972182824"/>
        <c:scaling>
          <c:orientation val="minMax"/>
          <c:max val="0.3"/>
          <c:min val="0"/>
        </c:scaling>
        <c:delete val="0"/>
        <c:axPos val="b"/>
        <c:numFmt formatCode="0.00%" sourceLinked="1"/>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972182432"/>
        <c:crosses val="autoZero"/>
        <c:crossBetween val="between"/>
        <c:majorUnit val="0.1"/>
      </c:valAx>
      <c:spPr>
        <a:solidFill>
          <a:sysClr val="window" lastClr="FFFFFF"/>
        </a:solidFill>
        <a:ln>
          <a:noFill/>
        </a:ln>
        <a:effectLst/>
      </c:spPr>
    </c:plotArea>
    <c:plotVisOnly val="1"/>
    <c:dispBlanksAs val="gap"/>
    <c:showDLblsOverMax val="0"/>
  </c:chart>
  <c:spPr>
    <a:solidFill>
      <a:sysClr val="window" lastClr="FFFFFF"/>
    </a:solidFill>
    <a:ln w="9525" cap="flat" cmpd="sng" algn="ctr">
      <a:noFill/>
      <a:prstDash val="solid"/>
      <a:round/>
    </a:ln>
    <a:effectLst/>
  </c:spPr>
  <c:txPr>
    <a:bodyPr/>
    <a:lstStyle/>
    <a:p>
      <a:pPr>
        <a:defRPr lang="zh-CN"/>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Sheet1!$B$1</c:f>
              <c:strCache>
                <c:ptCount val="1"/>
                <c:pt idx="0">
                  <c:v>稳定度</c:v>
                </c:pt>
              </c:strCache>
            </c:strRef>
          </c:tx>
          <c:spPr>
            <a:solidFill>
              <a:srgbClr val="0F6FC6"/>
            </a:solidFill>
            <a:ln>
              <a:solidFill>
                <a:srgbClr val="0F6FC6"/>
              </a:solidFill>
            </a:ln>
          </c:spPr>
          <c:invertIfNegative val="1"/>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 lastClr="FFFFFF"/>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Sheet1!$A$2:$A$8</c:f>
              <c:strCache>
                <c:ptCount val="7"/>
                <c:pt idx="0">
                  <c:v>*健康科学学院</c:v>
                </c:pt>
                <c:pt idx="1">
                  <c:v>*海事学院</c:v>
                </c:pt>
                <c:pt idx="2">
                  <c:v>机电工程学院</c:v>
                </c:pt>
                <c:pt idx="3">
                  <c:v>信息工程学院</c:v>
                </c:pt>
                <c:pt idx="4">
                  <c:v>城建学院</c:v>
                </c:pt>
                <c:pt idx="5">
                  <c:v>化学与材料工程学院</c:v>
                </c:pt>
                <c:pt idx="6">
                  <c:v>国际护理学院</c:v>
                </c:pt>
              </c:strCache>
            </c:strRef>
          </c:cat>
          <c:val>
            <c:numRef>
              <c:f>Sheet1!$B$2:$B$8</c:f>
              <c:numCache>
                <c:formatCode>0.00%</c:formatCode>
                <c:ptCount val="7"/>
                <c:pt idx="0">
                  <c:v>0.875</c:v>
                </c:pt>
                <c:pt idx="1">
                  <c:v>1</c:v>
                </c:pt>
                <c:pt idx="2">
                  <c:v>0.625</c:v>
                </c:pt>
                <c:pt idx="3">
                  <c:v>0.6667</c:v>
                </c:pt>
                <c:pt idx="4">
                  <c:v>0.7222</c:v>
                </c:pt>
                <c:pt idx="5">
                  <c:v>0.7222</c:v>
                </c:pt>
                <c:pt idx="6">
                  <c:v>0.9</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Sheet1!$C$1</c:f>
              <c:strCache>
                <c:ptCount val="1"/>
                <c:pt idx="0">
                  <c:v>离职率</c:v>
                </c:pt>
              </c:strCache>
            </c:strRef>
          </c:tx>
          <c:spPr>
            <a:solidFill>
              <a:srgbClr val="B9CDE5"/>
            </a:solidFill>
            <a:ln>
              <a:noFill/>
            </a:ln>
          </c:spPr>
          <c:invertIfNegative val="1"/>
          <c:dLbls>
            <c:dLbl>
              <c:idx val="1"/>
              <c:delete val="1"/>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 lastClr="FFFFFF"/>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Sheet1!$A$2:$A$8</c:f>
              <c:strCache>
                <c:ptCount val="7"/>
                <c:pt idx="0">
                  <c:v>*健康科学学院</c:v>
                </c:pt>
                <c:pt idx="1">
                  <c:v>*海事学院</c:v>
                </c:pt>
                <c:pt idx="2">
                  <c:v>机电工程学院</c:v>
                </c:pt>
                <c:pt idx="3">
                  <c:v>信息工程学院</c:v>
                </c:pt>
                <c:pt idx="4">
                  <c:v>城建学院</c:v>
                </c:pt>
                <c:pt idx="5">
                  <c:v>化学与材料工程学院</c:v>
                </c:pt>
                <c:pt idx="6">
                  <c:v>国际护理学院</c:v>
                </c:pt>
              </c:strCache>
            </c:strRef>
          </c:cat>
          <c:val>
            <c:numRef>
              <c:f>Sheet1!$C$2:$C$8</c:f>
              <c:numCache>
                <c:formatCode>0.00%</c:formatCode>
                <c:ptCount val="7"/>
                <c:pt idx="0">
                  <c:v>0.125</c:v>
                </c:pt>
                <c:pt idx="1">
                  <c:v>0</c:v>
                </c:pt>
                <c:pt idx="2">
                  <c:v>0.375</c:v>
                </c:pt>
                <c:pt idx="3">
                  <c:v>0.3333</c:v>
                </c:pt>
                <c:pt idx="4">
                  <c:v>0.2778</c:v>
                </c:pt>
                <c:pt idx="5">
                  <c:v>0.2778</c:v>
                </c:pt>
                <c:pt idx="6">
                  <c:v>0.1</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1"/>
          <c:showCatName val="0"/>
          <c:showSerName val="0"/>
          <c:showPercent val="0"/>
          <c:showBubbleSize val="0"/>
        </c:dLbls>
        <c:gapWidth val="100"/>
        <c:overlap val="100"/>
        <c:axId val="608997592"/>
        <c:axId val="608997984"/>
      </c:barChart>
      <c:catAx>
        <c:axId val="608997592"/>
        <c:scaling>
          <c:orientation val="minMax"/>
        </c:scaling>
        <c:delete val="0"/>
        <c:axPos val="l"/>
        <c:numFmt formatCode="General" sourceLinked="1"/>
        <c:majorTickMark val="none"/>
        <c:minorTickMark val="none"/>
        <c:tickLblPos val="nextTo"/>
        <c:spPr>
          <a:noFill/>
          <a:ln w="9525" cap="flat" cmpd="sng" algn="ctr">
            <a:solidFill>
              <a:sysClr val="window" lastClr="FFFFFF">
                <a:lumMod val="50000"/>
              </a:sysClr>
            </a:solidFill>
            <a:prstDash val="solid"/>
            <a:round/>
          </a:ln>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608997984"/>
        <c:crosses val="autoZero"/>
        <c:auto val="1"/>
        <c:lblAlgn val="ctr"/>
        <c:lblOffset val="100"/>
        <c:noMultiLvlLbl val="0"/>
      </c:catAx>
      <c:valAx>
        <c:axId val="608997984"/>
        <c:scaling>
          <c:orientation val="minMax"/>
          <c:min val="0"/>
        </c:scaling>
        <c:delete val="0"/>
        <c:axPos val="b"/>
        <c:numFmt formatCode="0%" sourceLinked="1"/>
        <c:majorTickMark val="in"/>
        <c:minorTickMark val="none"/>
        <c:tickLblPos val="nextTo"/>
        <c:spPr>
          <a:noFill/>
          <a:ln w="9525" cap="flat" cmpd="sng" algn="ctr">
            <a:solidFill>
              <a:sysClr val="window" lastClr="FFFFFF">
                <a:lumMod val="50000"/>
              </a:sysClr>
            </a:solidFill>
            <a:prstDash val="solid"/>
            <a:round/>
          </a:ln>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608997592"/>
        <c:crosses val="autoZero"/>
        <c:crossBetween val="between"/>
      </c:valAx>
      <c:spPr>
        <a:noFill/>
        <a:ln>
          <a:noFill/>
        </a:ln>
      </c:spPr>
    </c:plotArea>
    <c:legend>
      <c:legendPos val="t"/>
      <c:layout/>
      <c:overlay val="0"/>
      <c:spPr>
        <a:noFill/>
        <a:ln>
          <a:noFill/>
        </a:ln>
      </c:spPr>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legend>
    <c:plotVisOnly val="1"/>
    <c:dispBlanksAs val="gap"/>
    <c:showDLblsOverMax val="0"/>
  </c:chart>
  <c:spPr>
    <a:solidFill>
      <a:sysClr val="window" lastClr="FFFFFF"/>
    </a:solidFill>
    <a:ln w="9525" cap="flat" cmpd="sng" algn="ctr">
      <a:noFill/>
      <a:prstDash val="solid"/>
      <a:round/>
    </a:ln>
  </c:spPr>
  <c:txPr>
    <a:bodyPr/>
    <a:lstStyle/>
    <a:p>
      <a:pPr>
        <a:defRPr lang="zh-CN"/>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8599945949166"/>
          <c:y val="0.0163854801168723"/>
          <c:w val="0.617121973677341"/>
          <c:h val="0.949013987580821"/>
        </c:manualLayout>
      </c:layout>
      <c:barChart>
        <c:barDir val="bar"/>
        <c:grouping val="clustered"/>
        <c:varyColors val="0"/>
        <c:ser>
          <c:idx val="0"/>
          <c:order val="0"/>
          <c:tx>
            <c:strRef>
              <c:f>Sheet1!$B$1</c:f>
              <c:strCache>
                <c:ptCount val="1"/>
                <c:pt idx="0">
                  <c:v>占比</c:v>
                </c:pt>
              </c:strCache>
            </c:strRef>
          </c:tx>
          <c:spPr>
            <a:solidFill>
              <a:srgbClr val="0F6FC6"/>
            </a:solidFill>
            <a:ln>
              <a:solidFill>
                <a:srgbClr val="0F6FC6"/>
              </a:solidFill>
            </a:ln>
            <a:effectLst/>
          </c:spPr>
          <c:invertIfNegative val="0"/>
          <c:dPt>
            <c:idx val="0"/>
            <c:invertIfNegative val="0"/>
            <c:bubble3D val="0"/>
            <c:spPr>
              <a:solidFill>
                <a:srgbClr val="0F6FC6"/>
              </a:solidFill>
              <a:ln>
                <a:solidFill>
                  <a:srgbClr val="0F6FC6"/>
                </a:solidFill>
              </a:ln>
              <a:effectLst/>
            </c:spPr>
          </c:dPt>
          <c:dPt>
            <c:idx val="1"/>
            <c:invertIfNegative val="0"/>
            <c:bubble3D val="0"/>
            <c:spPr>
              <a:solidFill>
                <a:srgbClr val="0F6FC6"/>
              </a:solidFill>
              <a:ln>
                <a:solidFill>
                  <a:srgbClr val="0F6FC6"/>
                </a:solidFill>
              </a:ln>
              <a:effectLst/>
            </c:spPr>
          </c:dPt>
          <c:dPt>
            <c:idx val="2"/>
            <c:invertIfNegative val="0"/>
            <c:bubble3D val="0"/>
            <c:spPr>
              <a:solidFill>
                <a:srgbClr val="0F6FC6"/>
              </a:solidFill>
              <a:ln>
                <a:solidFill>
                  <a:srgbClr val="0F6FC6"/>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ysClr val="windowText" lastClr="000000">
                          <a:shade val="95000"/>
                          <a:satMod val="105000"/>
                        </a:sysClr>
                      </a:solidFill>
                      <a:prstDash val="solid"/>
                      <a:round/>
                    </a:ln>
                    <a:effectLst/>
                  </c:spPr>
                </c15:leaderLines>
              </c:ext>
            </c:extLst>
          </c:dLbls>
          <c:cat>
            <c:strRef>
              <c:f>Sheet1!$A$2:$A$11</c:f>
              <c:strCache>
                <c:ptCount val="10"/>
                <c:pt idx="0">
                  <c:v>黑龙江省</c:v>
                </c:pt>
                <c:pt idx="1">
                  <c:v>香港特别行政区</c:v>
                </c:pt>
                <c:pt idx="2">
                  <c:v>安徽省</c:v>
                </c:pt>
                <c:pt idx="3">
                  <c:v>上海市</c:v>
                </c:pt>
                <c:pt idx="4">
                  <c:v>浙江省</c:v>
                </c:pt>
                <c:pt idx="5">
                  <c:v>福建省</c:v>
                </c:pt>
                <c:pt idx="6">
                  <c:v>广西壮族自治区</c:v>
                </c:pt>
                <c:pt idx="7">
                  <c:v>贵州省</c:v>
                </c:pt>
                <c:pt idx="8">
                  <c:v>广东省</c:v>
                </c:pt>
                <c:pt idx="9">
                  <c:v>海南省</c:v>
                </c:pt>
              </c:strCache>
            </c:strRef>
          </c:cat>
          <c:val>
            <c:numRef>
              <c:f>Sheet1!$B$2:$B$11</c:f>
              <c:numCache>
                <c:formatCode>0.00%</c:formatCode>
                <c:ptCount val="10"/>
                <c:pt idx="0">
                  <c:v>0.0087</c:v>
                </c:pt>
                <c:pt idx="1">
                  <c:v>0.0087</c:v>
                </c:pt>
                <c:pt idx="2">
                  <c:v>0.0174</c:v>
                </c:pt>
                <c:pt idx="3">
                  <c:v>0.0174</c:v>
                </c:pt>
                <c:pt idx="4">
                  <c:v>0.0261</c:v>
                </c:pt>
                <c:pt idx="5">
                  <c:v>0.0261</c:v>
                </c:pt>
                <c:pt idx="6">
                  <c:v>0.0348</c:v>
                </c:pt>
                <c:pt idx="7">
                  <c:v>0.0348</c:v>
                </c:pt>
                <c:pt idx="8">
                  <c:v>0.1391</c:v>
                </c:pt>
                <c:pt idx="9">
                  <c:v>0.6174</c:v>
                </c:pt>
              </c:numCache>
            </c:numRef>
          </c:val>
        </c:ser>
        <c:dLbls>
          <c:showLegendKey val="0"/>
          <c:showVal val="0"/>
          <c:showCatName val="0"/>
          <c:showSerName val="0"/>
          <c:showPercent val="0"/>
          <c:showBubbleSize val="0"/>
        </c:dLbls>
        <c:gapWidth val="99"/>
        <c:axId val="388741360"/>
        <c:axId val="388748976"/>
      </c:barChart>
      <c:catAx>
        <c:axId val="388741360"/>
        <c:scaling>
          <c:orientation val="minMax"/>
        </c:scaling>
        <c:delete val="0"/>
        <c:axPos val="l"/>
        <c:numFmt formatCode="General" sourceLinked="0"/>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388748976"/>
        <c:crosses val="autoZero"/>
        <c:auto val="1"/>
        <c:lblAlgn val="ctr"/>
        <c:lblOffset val="100"/>
        <c:noMultiLvlLbl val="0"/>
      </c:catAx>
      <c:valAx>
        <c:axId val="388748976"/>
        <c:scaling>
          <c:orientation val="minMax"/>
          <c:min val="0"/>
        </c:scaling>
        <c:delete val="0"/>
        <c:axPos val="b"/>
        <c:numFmt formatCode="0.00%" sourceLinked="1"/>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388741360"/>
        <c:crosses val="autoZero"/>
        <c:crossBetween val="between"/>
        <c:majorUnit val="0.2"/>
        <c:minorUnit val="0.001"/>
      </c:valAx>
      <c:spPr>
        <a:solidFill>
          <a:sysClr val="window" lastClr="FFFFFF"/>
        </a:solidFill>
        <a:ln>
          <a:noFill/>
        </a:ln>
        <a:effectLst/>
      </c:spPr>
    </c:plotArea>
    <c:plotVisOnly val="1"/>
    <c:dispBlanksAs val="gap"/>
    <c:showDLblsOverMax val="0"/>
  </c:chart>
  <c:spPr>
    <a:solidFill>
      <a:sysClr val="window" lastClr="FFFFFF"/>
    </a:solidFill>
    <a:ln w="9525" cap="flat" cmpd="sng" algn="ctr">
      <a:noFill/>
      <a:prstDash val="solid"/>
      <a:round/>
    </a:ln>
    <a:effectLst/>
  </c:spPr>
  <c:txPr>
    <a:bodyPr/>
    <a:lstStyle/>
    <a:p>
      <a:pPr>
        <a:defRPr lang="zh-CN"/>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8599945949166"/>
          <c:y val="0.0163854801168723"/>
          <c:w val="0.617121973677341"/>
          <c:h val="0.949013987580821"/>
        </c:manualLayout>
      </c:layout>
      <c:barChart>
        <c:barDir val="bar"/>
        <c:grouping val="clustered"/>
        <c:varyColors val="0"/>
        <c:ser>
          <c:idx val="0"/>
          <c:order val="0"/>
          <c:tx>
            <c:strRef>
              <c:f>Sheet1!$B$1</c:f>
              <c:strCache>
                <c:ptCount val="1"/>
                <c:pt idx="0">
                  <c:v>占比</c:v>
                </c:pt>
              </c:strCache>
            </c:strRef>
          </c:tx>
          <c:spPr>
            <a:solidFill>
              <a:srgbClr val="0F6FC6"/>
            </a:solidFill>
            <a:ln>
              <a:solidFill>
                <a:srgbClr val="0F6FC6"/>
              </a:solidFill>
            </a:ln>
          </c:spPr>
          <c:invertIfNegative val="0"/>
          <c:dPt>
            <c:idx val="0"/>
            <c:invertIfNegative val="0"/>
            <c:bubble3D val="0"/>
          </c:dPt>
          <c:dPt>
            <c:idx val="1"/>
            <c:invertIfNegative val="0"/>
            <c:bubble3D val="0"/>
          </c:dPt>
          <c:dPt>
            <c:idx val="2"/>
            <c:invertIfNegative val="0"/>
            <c:bubble3D val="0"/>
          </c:dPt>
          <c:dPt>
            <c:idx val="11"/>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Sheet1!$A$2:$A$13</c:f>
              <c:strCache>
                <c:ptCount val="12"/>
                <c:pt idx="0">
                  <c:v>昌江黎族自治县</c:v>
                </c:pt>
                <c:pt idx="1">
                  <c:v>屯昌县</c:v>
                </c:pt>
                <c:pt idx="2">
                  <c:v>白沙黎族自治县</c:v>
                </c:pt>
                <c:pt idx="3">
                  <c:v>万宁市</c:v>
                </c:pt>
                <c:pt idx="4">
                  <c:v>琼海市</c:v>
                </c:pt>
                <c:pt idx="5">
                  <c:v>澄迈县</c:v>
                </c:pt>
                <c:pt idx="6">
                  <c:v>五指山市</c:v>
                </c:pt>
                <c:pt idx="7">
                  <c:v>文昌市</c:v>
                </c:pt>
                <c:pt idx="8">
                  <c:v>琼中黎族苗族自治县</c:v>
                </c:pt>
                <c:pt idx="9">
                  <c:v>东方市</c:v>
                </c:pt>
                <c:pt idx="10">
                  <c:v>三亚市</c:v>
                </c:pt>
                <c:pt idx="11">
                  <c:v>海口市</c:v>
                </c:pt>
              </c:strCache>
            </c:strRef>
          </c:cat>
          <c:val>
            <c:numRef>
              <c:f>Sheet1!$B$2:$B$13</c:f>
              <c:numCache>
                <c:formatCode>0.00%</c:formatCode>
                <c:ptCount val="12"/>
                <c:pt idx="0">
                  <c:v>0.0141</c:v>
                </c:pt>
                <c:pt idx="1">
                  <c:v>0.0141</c:v>
                </c:pt>
                <c:pt idx="2">
                  <c:v>0.0141</c:v>
                </c:pt>
                <c:pt idx="3">
                  <c:v>0.0141</c:v>
                </c:pt>
                <c:pt idx="4">
                  <c:v>0.0141</c:v>
                </c:pt>
                <c:pt idx="5">
                  <c:v>0.0282</c:v>
                </c:pt>
                <c:pt idx="6">
                  <c:v>0.0282</c:v>
                </c:pt>
                <c:pt idx="7">
                  <c:v>0.0282</c:v>
                </c:pt>
                <c:pt idx="8">
                  <c:v>0.0282</c:v>
                </c:pt>
                <c:pt idx="9">
                  <c:v>0.0423</c:v>
                </c:pt>
                <c:pt idx="10">
                  <c:v>0.0704</c:v>
                </c:pt>
                <c:pt idx="11">
                  <c:v>0.7042</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ysClr val="windowText" lastClr="000000">
                <a:tint val="75000"/>
                <a:shade val="95000"/>
                <a:satMod val="105000"/>
              </a:sysClr>
            </a:solidFill>
            <a:prstDash val="solid"/>
            <a:round/>
          </a:ln>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972182824"/>
        <c:crosses val="autoZero"/>
        <c:auto val="1"/>
        <c:lblAlgn val="ctr"/>
        <c:lblOffset val="100"/>
        <c:noMultiLvlLbl val="0"/>
      </c:catAx>
      <c:valAx>
        <c:axId val="972182824"/>
        <c:scaling>
          <c:orientation val="minMax"/>
          <c:max val="0.75"/>
          <c:min val="0"/>
        </c:scaling>
        <c:delete val="0"/>
        <c:axPos val="b"/>
        <c:numFmt formatCode="0.00%" sourceLinked="1"/>
        <c:majorTickMark val="in"/>
        <c:minorTickMark val="none"/>
        <c:tickLblPos val="nextTo"/>
        <c:spPr>
          <a:noFill/>
          <a:ln w="9525" cap="flat" cmpd="sng" algn="ctr">
            <a:solidFill>
              <a:sysClr val="windowText" lastClr="000000">
                <a:tint val="75000"/>
                <a:shade val="95000"/>
                <a:satMod val="105000"/>
              </a:sysClr>
            </a:solidFill>
            <a:prstDash val="solid"/>
            <a:round/>
          </a:ln>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972182432"/>
        <c:crosses val="autoZero"/>
        <c:crossBetween val="between"/>
        <c:majorUnit val="0.2"/>
      </c:valAx>
      <c:spPr>
        <a:solidFill>
          <a:sysClr val="window" lastClr="FFFFFF"/>
        </a:solidFill>
        <a:ln>
          <a:noFill/>
        </a:ln>
      </c:spPr>
    </c:plotArea>
    <c:plotVisOnly val="1"/>
    <c:dispBlanksAs val="gap"/>
    <c:showDLblsOverMax val="0"/>
  </c:chart>
  <c:spPr>
    <a:solidFill>
      <a:sysClr val="window" lastClr="FFFFFF"/>
    </a:solidFill>
    <a:ln w="9525" cap="flat" cmpd="sng" algn="ctr">
      <a:noFill/>
      <a:prstDash val="solid"/>
      <a:round/>
    </a:ln>
  </c:spPr>
  <c:txPr>
    <a:bodyPr/>
    <a:lstStyle/>
    <a:p>
      <a:pPr>
        <a:defRPr lang="zh-CN"/>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3175853018373"/>
          <c:y val="0.134473513391471"/>
          <c:w val="0.574613949118429"/>
          <c:h val="0.752558914006717"/>
        </c:manualLayout>
      </c:layout>
      <c:doughnutChart>
        <c:varyColors val="1"/>
        <c:ser>
          <c:idx val="0"/>
          <c:order val="0"/>
          <c:tx>
            <c:strRef>
              <c:f>Sheet1!$B$1</c:f>
              <c:strCache>
                <c:ptCount val="1"/>
                <c:pt idx="0">
                  <c:v>就业地区分布</c:v>
                </c:pt>
              </c:strCache>
            </c:strRef>
          </c:tx>
          <c:explosion val="0"/>
          <c:dPt>
            <c:idx val="0"/>
            <c:bubble3D val="0"/>
            <c:spPr>
              <a:solidFill>
                <a:srgbClr val="0F6FC6"/>
              </a:solidFill>
              <a:ln w="19050">
                <a:solidFill>
                  <a:sysClr val="window" lastClr="FFFFFF"/>
                </a:solidFill>
              </a:ln>
              <a:effectLst/>
            </c:spPr>
          </c:dPt>
          <c:dPt>
            <c:idx val="1"/>
            <c:bubble3D val="0"/>
            <c:spPr>
              <a:solidFill>
                <a:srgbClr val="009DD9"/>
              </a:solidFill>
              <a:ln w="19050">
                <a:solidFill>
                  <a:sysClr val="window" lastClr="FFFFFF"/>
                </a:solidFill>
              </a:ln>
              <a:effectLst/>
            </c:spPr>
          </c:dPt>
          <c:dLbls>
            <c:dLbl>
              <c:idx val="0"/>
              <c:layout>
                <c:manualLayout>
                  <c:x val="0.286722780342112"/>
                  <c:y val="0.121863517060367"/>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ysClr val="windowText" lastClr="000000">
                          <a:lumMod val="75000"/>
                          <a:lumOff val="25000"/>
                        </a:sysClr>
                      </a:solidFill>
                      <a:latin typeface="+mn-lt"/>
                      <a:ea typeface="+mn-ea"/>
                      <a:cs typeface="+mn-cs"/>
                    </a:defRPr>
                  </a:pPr>
                </a:p>
              </c:txPr>
              <c:showLegendKey val="0"/>
              <c:showVal val="1"/>
              <c:showCatName val="1"/>
              <c:showSerName val="0"/>
              <c:showPercent val="0"/>
              <c:showBubbleSize val="0"/>
              <c:extLst>
                <c:ext xmlns:c15="http://schemas.microsoft.com/office/drawing/2012/chart" uri="{CE6537A1-D6FC-4f65-9D91-7224C49458BB}">
                  <c15:layout>
                    <c:manualLayout>
                      <c:w val="0.276799194765979"/>
                      <c:h val="0.196308525950385"/>
                    </c:manualLayout>
                  </c15:layout>
                </c:ext>
              </c:extLst>
            </c:dLbl>
            <c:dLbl>
              <c:idx val="1"/>
              <c:layout>
                <c:manualLayout>
                  <c:x val="-0.174600373229208"/>
                  <c:y val="-0.13584991392205"/>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ysClr val="windowText" lastClr="000000">
                          <a:lumMod val="75000"/>
                          <a:lumOff val="25000"/>
                        </a:sysClr>
                      </a:solidFill>
                      <a:latin typeface="+mn-lt"/>
                      <a:ea typeface="+mn-ea"/>
                      <a:cs typeface="+mn-cs"/>
                    </a:defRPr>
                  </a:pPr>
                </a:p>
              </c:txPr>
              <c:showLegendKey val="0"/>
              <c:showVal val="1"/>
              <c:showCatName val="1"/>
              <c:showSerName val="0"/>
              <c:showPercent val="0"/>
              <c:showBubbleSize val="0"/>
              <c:extLst>
                <c:ext xmlns:c15="http://schemas.microsoft.com/office/drawing/2012/chart" uri="{CE6537A1-D6FC-4f65-9D91-7224C49458BB}">
                  <c15:layout>
                    <c:manualLayout>
                      <c:w val="0.31202818319074"/>
                      <c:h val="0.239319278638557"/>
                    </c:manualLayout>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lumMod val="75000"/>
                        <a:lumOff val="25000"/>
                      </a:sysClr>
                    </a:solidFill>
                    <a:latin typeface="+mn-lt"/>
                    <a:ea typeface="+mn-ea"/>
                    <a:cs typeface="+mn-cs"/>
                  </a:defRPr>
                </a:pPr>
              </a:p>
            </c:txPr>
            <c:showLegendKey val="0"/>
            <c:showVal val="1"/>
            <c:showCatName val="1"/>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省内就业</c:v>
                </c:pt>
                <c:pt idx="1">
                  <c:v>省外就业</c:v>
                </c:pt>
              </c:strCache>
            </c:strRef>
          </c:cat>
          <c:val>
            <c:numRef>
              <c:f>Sheet1!$B$2:$B$3</c:f>
              <c:numCache>
                <c:formatCode>0.00%</c:formatCode>
                <c:ptCount val="2"/>
                <c:pt idx="0">
                  <c:v>0.9206</c:v>
                </c:pt>
                <c:pt idx="1">
                  <c:v>0.0794</c:v>
                </c:pt>
              </c:numCache>
            </c:numRef>
          </c:val>
        </c:ser>
        <c:dLbls>
          <c:showLegendKey val="0"/>
          <c:showVal val="1"/>
          <c:showCatName val="0"/>
          <c:showSerName val="0"/>
          <c:showPercent val="0"/>
          <c:showBubbleSize val="0"/>
          <c:showLeaderLines val="0"/>
        </c:dLbls>
        <c:firstSliceAng val="0"/>
        <c:holeSize val="40"/>
      </c:doughnutChart>
      <c:spPr>
        <a:noFill/>
        <a:ln>
          <a:noFill/>
        </a:ln>
      </c:spPr>
    </c:plotArea>
    <c:plotVisOnly val="1"/>
    <c:dispBlanksAs val="gap"/>
    <c:showDLblsOverMax val="0"/>
  </c:chart>
  <c:spPr>
    <a:solidFill>
      <a:sysClr val="window" lastClr="FFFFFF"/>
    </a:solidFill>
    <a:ln w="9525" cap="flat" cmpd="sng" algn="ctr">
      <a:noFill/>
      <a:prstDash val="solid"/>
      <a:round/>
    </a:ln>
  </c:spPr>
  <c:txPr>
    <a:bodyPr/>
    <a:lstStyle/>
    <a:p>
      <a:pPr>
        <a:defRPr lang="zh-CN"/>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2476470416476"/>
          <c:y val="0.141352976039285"/>
          <c:w val="0.544190455797475"/>
          <c:h val="0.788978635735049"/>
        </c:manualLayout>
      </c:layout>
      <c:doughnutChart>
        <c:varyColors val="1"/>
        <c:ser>
          <c:idx val="0"/>
          <c:order val="0"/>
          <c:tx>
            <c:strRef>
              <c:f>Sheet1!$B$1</c:f>
              <c:strCache>
                <c:ptCount val="1"/>
                <c:pt idx="0">
                  <c:v>比例</c:v>
                </c:pt>
              </c:strCache>
            </c:strRef>
          </c:tx>
          <c:explosion val="0"/>
          <c:dPt>
            <c:idx val="0"/>
            <c:bubble3D val="0"/>
            <c:spPr>
              <a:solidFill>
                <a:srgbClr val="0F6FC6"/>
              </a:solidFill>
              <a:ln w="19050">
                <a:solidFill>
                  <a:sysClr val="window" lastClr="FFFFFF"/>
                </a:solidFill>
              </a:ln>
              <a:effectLst/>
            </c:spPr>
          </c:dPt>
          <c:dPt>
            <c:idx val="1"/>
            <c:bubble3D val="0"/>
            <c:spPr>
              <a:solidFill>
                <a:srgbClr val="009DD9"/>
              </a:solidFill>
              <a:ln w="19050">
                <a:solidFill>
                  <a:sysClr val="window" lastClr="FFFFFF"/>
                </a:solidFill>
              </a:ln>
              <a:effectLst/>
            </c:spPr>
          </c:dPt>
          <c:dPt>
            <c:idx val="2"/>
            <c:bubble3D val="0"/>
            <c:spPr>
              <a:solidFill>
                <a:srgbClr val="1F497D">
                  <a:lumMod val="60000"/>
                  <a:lumOff val="40000"/>
                </a:srgbClr>
              </a:solidFill>
              <a:ln w="19050">
                <a:solidFill>
                  <a:sysClr val="window" lastClr="FFFFFF"/>
                </a:solidFill>
              </a:ln>
              <a:effectLst/>
            </c:spPr>
          </c:dPt>
          <c:dLbls>
            <c:dLbl>
              <c:idx val="0"/>
              <c:layout>
                <c:manualLayout>
                  <c:x val="0.195111161230644"/>
                  <c:y val="-0.00716874100414864"/>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ysClr val="windowText" lastClr="000000">
                          <a:lumMod val="75000"/>
                          <a:lumOff val="25000"/>
                        </a:sysClr>
                      </a:solidFill>
                      <a:latin typeface="+mn-lt"/>
                      <a:ea typeface="+mn-ea"/>
                      <a:cs typeface="+mn-cs"/>
                    </a:defRPr>
                  </a:pPr>
                </a:p>
              </c:txPr>
              <c:showLegendKey val="0"/>
              <c:showVal val="1"/>
              <c:showCatName val="1"/>
              <c:showSerName val="0"/>
              <c:showPercent val="0"/>
              <c:showBubbleSize val="0"/>
              <c:extLst>
                <c:ext xmlns:c15="http://schemas.microsoft.com/office/drawing/2012/chart" uri="{CE6537A1-D6FC-4f65-9D91-7224C49458BB}">
                  <c15:layout>
                    <c:manualLayout>
                      <c:w val="0.276799194765979"/>
                      <c:h val="0.196308525950385"/>
                    </c:manualLayout>
                  </c15:layout>
                </c:ext>
              </c:extLst>
            </c:dLbl>
            <c:dLbl>
              <c:idx val="1"/>
              <c:layout>
                <c:manualLayout>
                  <c:x val="-0.324184226662644"/>
                  <c:y val="0.0681006406457256"/>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ysClr val="windowText" lastClr="000000">
                          <a:lumMod val="75000"/>
                          <a:lumOff val="25000"/>
                        </a:sysClr>
                      </a:solidFill>
                      <a:latin typeface="+mn-lt"/>
                      <a:ea typeface="+mn-ea"/>
                      <a:cs typeface="+mn-cs"/>
                    </a:defRPr>
                  </a:pPr>
                </a:p>
              </c:txPr>
              <c:showLegendKey val="0"/>
              <c:showVal val="1"/>
              <c:showCatName val="1"/>
              <c:showSerName val="0"/>
              <c:showPercent val="0"/>
              <c:showBubbleSize val="0"/>
              <c:extLst>
                <c:ext xmlns:c15="http://schemas.microsoft.com/office/drawing/2012/chart" uri="{CE6537A1-D6FC-4f65-9D91-7224C49458BB}">
                  <c15:layout>
                    <c:manualLayout>
                      <c:w val="0.31202818319074"/>
                      <c:h val="0.239319278638557"/>
                    </c:manualLayout>
                  </c15:layout>
                </c:ext>
              </c:extLst>
            </c:dLbl>
            <c:dLbl>
              <c:idx val="2"/>
              <c:layout>
                <c:manualLayout>
                  <c:x val="-0.0997767244483809"/>
                  <c:y val="-0.226619253238506"/>
                </c:manualLayout>
              </c:layout>
              <c:showLegendKey val="0"/>
              <c:showVal val="1"/>
              <c:showCatName val="1"/>
              <c:showSerName val="0"/>
              <c:showPercent val="0"/>
              <c:showBubbleSize val="0"/>
              <c:extLst>
                <c:ext xmlns:c15="http://schemas.microsoft.com/office/drawing/2012/chart" uri="{CE6537A1-D6FC-4f65-9D91-7224C49458BB}">
                  <c15:layout>
                    <c:manualLayout>
                      <c:w val="0.332430238556398"/>
                      <c:h val="0.189247311827957"/>
                    </c:manualLayout>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lumMod val="75000"/>
                        <a:lumOff val="25000"/>
                      </a:sysClr>
                    </a:solidFill>
                    <a:latin typeface="+mn-lt"/>
                    <a:ea typeface="+mn-ea"/>
                    <a:cs typeface="+mn-cs"/>
                  </a:defRPr>
                </a:pPr>
              </a:p>
            </c:txPr>
            <c:showLegendKey val="0"/>
            <c:showVal val="1"/>
            <c:showCatName val="1"/>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省内就业</c:v>
                </c:pt>
                <c:pt idx="1">
                  <c:v>回生源地就业</c:v>
                </c:pt>
                <c:pt idx="2">
                  <c:v>其他省份就业</c:v>
                </c:pt>
              </c:strCache>
            </c:strRef>
          </c:cat>
          <c:val>
            <c:numRef>
              <c:f>Sheet1!$B$2:$B$4</c:f>
              <c:numCache>
                <c:formatCode>0.00%</c:formatCode>
                <c:ptCount val="3"/>
                <c:pt idx="0">
                  <c:v>0.2667</c:v>
                </c:pt>
                <c:pt idx="1">
                  <c:v>0.4667</c:v>
                </c:pt>
                <c:pt idx="2">
                  <c:v>0.2667</c:v>
                </c:pt>
              </c:numCache>
            </c:numRef>
          </c:val>
        </c:ser>
        <c:dLbls>
          <c:showLegendKey val="0"/>
          <c:showVal val="1"/>
          <c:showCatName val="0"/>
          <c:showSerName val="0"/>
          <c:showPercent val="0"/>
          <c:showBubbleSize val="0"/>
          <c:showLeaderLines val="0"/>
        </c:dLbls>
        <c:firstSliceAng val="0"/>
        <c:holeSize val="40"/>
      </c:doughnutChart>
      <c:spPr>
        <a:noFill/>
        <a:ln>
          <a:noFill/>
        </a:ln>
      </c:spPr>
    </c:plotArea>
    <c:plotVisOnly val="1"/>
    <c:dispBlanksAs val="gap"/>
    <c:showDLblsOverMax val="0"/>
  </c:chart>
  <c:spPr>
    <a:solidFill>
      <a:sysClr val="window" lastClr="FFFFFF"/>
    </a:solidFill>
    <a:ln w="9525" cap="flat" cmpd="sng" algn="ctr">
      <a:noFill/>
      <a:prstDash val="solid"/>
      <a:round/>
    </a:ln>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pie3DChart>
        <c:varyColors val="1"/>
        <c:ser>
          <c:idx val="0"/>
          <c:order val="0"/>
          <c:spPr>
            <a:scene3d>
              <a:camera prst="orthographicFront"/>
              <a:lightRig rig="threePt" dir="t"/>
            </a:scene3d>
            <a:sp3d contourW="9525"/>
          </c:spPr>
          <c:explosion val="0"/>
          <c:dPt>
            <c:idx val="0"/>
            <c:bubble3D val="0"/>
            <c:spPr>
              <a:solidFill>
                <a:schemeClr val="accent1"/>
              </a:solidFill>
              <a:ln>
                <a:solidFill>
                  <a:schemeClr val="bg1"/>
                </a:solidFill>
              </a:ln>
              <a:effectLst/>
              <a:scene3d>
                <a:camera prst="orthographicFront"/>
                <a:lightRig rig="threePt" dir="t"/>
              </a:scene3d>
              <a:sp3d contourW="9525"/>
            </c:spPr>
          </c:dPt>
          <c:dPt>
            <c:idx val="1"/>
            <c:bubble3D val="0"/>
            <c:spPr>
              <a:solidFill>
                <a:schemeClr val="tx2">
                  <a:lumMod val="40000"/>
                  <a:lumOff val="60000"/>
                </a:schemeClr>
              </a:solidFill>
              <a:ln>
                <a:solidFill>
                  <a:schemeClr val="bg1"/>
                </a:solidFill>
              </a:ln>
              <a:effectLst/>
              <a:scene3d>
                <a:camera prst="orthographicFront"/>
                <a:lightRig rig="threePt" dir="t"/>
              </a:scene3d>
              <a:sp3d contourW="9525"/>
            </c:spPr>
          </c:dPt>
          <c:dPt>
            <c:idx val="2"/>
            <c:bubble3D val="0"/>
            <c:spPr>
              <a:solidFill>
                <a:schemeClr val="accent3"/>
              </a:solidFill>
              <a:ln>
                <a:solidFill>
                  <a:schemeClr val="bg1"/>
                </a:solidFill>
              </a:ln>
              <a:effectLst/>
              <a:scene3d>
                <a:camera prst="orthographicFront"/>
                <a:lightRig rig="threePt" dir="t"/>
              </a:scene3d>
              <a:sp3d contourW="9525"/>
            </c:spPr>
          </c:dPt>
          <c:dLbls>
            <c:dLbl>
              <c:idx val="0"/>
              <c:layout/>
              <c:tx>
                <c:rich>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r>
                      <a:rPr lang="zh-CN" altLang="en-US"/>
                      <a:t>少数民族</a:t>
                    </a:r>
                    <a:endParaRPr lang="zh-CN" altLang="en-US"/>
                  </a:p>
                  <a:p>
                    <a:pPr>
                      <a:defRPr lang="zh-CN" sz="1000" b="0" i="0" u="none" strike="noStrike" kern="1200" baseline="0">
                        <a:solidFill>
                          <a:schemeClr val="tx1">
                            <a:lumMod val="75000"/>
                            <a:lumOff val="25000"/>
                          </a:schemeClr>
                        </a:solidFill>
                        <a:latin typeface="+mn-lt"/>
                        <a:ea typeface="+mn-ea"/>
                        <a:cs typeface="+mn-cs"/>
                      </a:defRPr>
                    </a:pPr>
                    <a:r>
                      <a:rPr lang="en-US" altLang="zh-CN"/>
                      <a:t>77.3%</a:t>
                    </a:r>
                    <a:endParaRPr lang="en-US" altLang="zh-CN"/>
                  </a:p>
                </c:rich>
              </c:tx>
              <c:dLblPos val="inEnd"/>
              <c:showLegendKey val="0"/>
              <c:showVal val="0"/>
              <c:showCatName val="1"/>
              <c:showSerName val="0"/>
              <c:showPercent val="1"/>
              <c:showBubbleSize val="0"/>
              <c:separator>
</c:separator>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r>
                      <a:rPr lang="zh-CN" altLang="en-US"/>
                      <a:t>家庭困难</a:t>
                    </a:r>
                    <a:endParaRPr lang="zh-CN" altLang="en-US"/>
                  </a:p>
                  <a:p>
                    <a:pPr>
                      <a:defRPr lang="zh-CN" sz="1000" b="0" i="0" u="none" strike="noStrike" kern="1200" baseline="0">
                        <a:solidFill>
                          <a:schemeClr val="tx1">
                            <a:lumMod val="75000"/>
                            <a:lumOff val="25000"/>
                          </a:schemeClr>
                        </a:solidFill>
                        <a:latin typeface="+mn-lt"/>
                        <a:ea typeface="+mn-ea"/>
                        <a:cs typeface="+mn-cs"/>
                      </a:defRPr>
                    </a:pPr>
                    <a:r>
                      <a:rPr lang="en-US" altLang="zh-CN"/>
                      <a:t>22.43%</a:t>
                    </a:r>
                    <a:endParaRPr lang="en-US" altLang="zh-CN"/>
                  </a:p>
                </c:rich>
              </c:tx>
              <c:dLblPos val="inEnd"/>
              <c:showLegendKey val="0"/>
              <c:showVal val="0"/>
              <c:showCatName val="1"/>
              <c:showSerName val="0"/>
              <c:showPercent val="1"/>
              <c:showBubbleSize val="0"/>
              <c:separator>
</c:separator>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r>
                      <a:rPr lang="zh-CN" altLang="en-US"/>
                      <a:t>残疾人</a:t>
                    </a:r>
                    <a:endParaRPr lang="zh-CN" altLang="en-US"/>
                  </a:p>
                  <a:p>
                    <a:pPr>
                      <a:defRPr lang="zh-CN" sz="1000" b="0" i="0" u="none" strike="noStrike" kern="1200" baseline="0">
                        <a:solidFill>
                          <a:schemeClr val="tx1">
                            <a:lumMod val="75000"/>
                            <a:lumOff val="25000"/>
                          </a:schemeClr>
                        </a:solidFill>
                        <a:latin typeface="+mn-lt"/>
                        <a:ea typeface="+mn-ea"/>
                        <a:cs typeface="+mn-cs"/>
                      </a:defRPr>
                    </a:pPr>
                    <a:r>
                      <a:rPr lang="en-US" altLang="zh-CN"/>
                      <a:t>0.27%</a:t>
                    </a:r>
                    <a:endParaRPr lang="en-US" altLang="zh-CN"/>
                  </a:p>
                </c:rich>
              </c:tx>
              <c:dLblPos val="inEnd"/>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'[新建 XLSX 工作表.xlsx]Sheet3'!$A$2:$A$4</c:f>
              <c:strCache>
                <c:ptCount val="3"/>
                <c:pt idx="0">
                  <c:v>少数民族</c:v>
                </c:pt>
                <c:pt idx="1">
                  <c:v>家庭困难</c:v>
                </c:pt>
                <c:pt idx="2">
                  <c:v>残疾人</c:v>
                </c:pt>
              </c:strCache>
            </c:strRef>
          </c:cat>
          <c:val>
            <c:numRef>
              <c:f>'[新建 XLSX 工作表.xlsx]Sheet3'!$B$2:$B$4</c:f>
              <c:numCache>
                <c:formatCode>General</c:formatCode>
                <c:ptCount val="3"/>
                <c:pt idx="0">
                  <c:v>872</c:v>
                </c:pt>
                <c:pt idx="1">
                  <c:v>253</c:v>
                </c:pt>
                <c:pt idx="2">
                  <c:v>3</c:v>
                </c:pt>
              </c:numCache>
            </c:numRef>
          </c:val>
        </c:ser>
        <c:ser>
          <c:idx val="1"/>
          <c:order val="1"/>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'[新建 XLSX 工作表.xlsx]Sheet3'!$A$2:$A$4</c:f>
              <c:strCache>
                <c:ptCount val="3"/>
                <c:pt idx="0">
                  <c:v>少数民族</c:v>
                </c:pt>
                <c:pt idx="1">
                  <c:v>家庭困难</c:v>
                </c:pt>
                <c:pt idx="2">
                  <c:v>残疾人</c:v>
                </c:pt>
              </c:strCache>
            </c:strRef>
          </c:cat>
          <c:val>
            <c:numRef>
              <c:f>'[新建 XLSX 工作表.xlsx]Sheet3'!$C$2:$C$4</c:f>
              <c:numCache>
                <c:formatCode>0.00%</c:formatCode>
                <c:ptCount val="3"/>
                <c:pt idx="0">
                  <c:v>0.773049645390071</c:v>
                </c:pt>
                <c:pt idx="1">
                  <c:v>0.224290780141844</c:v>
                </c:pt>
                <c:pt idx="2">
                  <c:v>0.00265957446808511</c:v>
                </c:pt>
              </c:numCache>
            </c:numRef>
          </c:val>
        </c:ser>
        <c:dLbls>
          <c:showLegendKey val="0"/>
          <c:showVal val="0"/>
          <c:showCatName val="1"/>
          <c:showSerName val="0"/>
          <c:showPercent val="0"/>
          <c:showBubbleSize val="0"/>
        </c:dLbls>
      </c:pie3D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8599945949166"/>
          <c:y val="0.0163854801168723"/>
          <c:w val="0.617121973677341"/>
          <c:h val="0.949013987580821"/>
        </c:manualLayout>
      </c:layout>
      <c:barChart>
        <c:barDir val="bar"/>
        <c:grouping val="clustered"/>
        <c:varyColors val="0"/>
        <c:ser>
          <c:idx val="0"/>
          <c:order val="0"/>
          <c:tx>
            <c:strRef>
              <c:f>Sheet1!$B$1</c:f>
              <c:strCache>
                <c:ptCount val="1"/>
                <c:pt idx="0">
                  <c:v>我工作的平均月收入（税前）</c:v>
                </c:pt>
              </c:strCache>
            </c:strRef>
          </c:tx>
          <c:spPr>
            <a:solidFill>
              <a:srgbClr val="0F6FC6"/>
            </a:solidFill>
            <a:ln>
              <a:noFill/>
            </a:ln>
            <a:effectLst/>
          </c:spPr>
          <c:invertIfNegative val="0"/>
          <c:dPt>
            <c:idx val="0"/>
            <c:invertIfNegative val="0"/>
            <c:bubble3D val="0"/>
            <c:spPr>
              <a:solidFill>
                <a:srgbClr val="0F6FC6"/>
              </a:solidFill>
              <a:ln>
                <a:noFill/>
              </a:ln>
              <a:effectLst/>
            </c:spPr>
          </c:dPt>
          <c:dPt>
            <c:idx val="1"/>
            <c:invertIfNegative val="0"/>
            <c:bubble3D val="0"/>
            <c:spPr>
              <a:solidFill>
                <a:srgbClr val="0F6FC6"/>
              </a:solidFill>
              <a:ln>
                <a:noFill/>
              </a:ln>
              <a:effectLst/>
            </c:spPr>
          </c:dPt>
          <c:dPt>
            <c:idx val="2"/>
            <c:invertIfNegative val="0"/>
            <c:bubble3D val="0"/>
            <c:spPr>
              <a:solidFill>
                <a:srgbClr val="0F6FC6"/>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ysClr val="windowText" lastClr="000000">
                          <a:shade val="95000"/>
                          <a:satMod val="105000"/>
                        </a:sysClr>
                      </a:solidFill>
                      <a:prstDash val="solid"/>
                      <a:round/>
                    </a:ln>
                    <a:effectLst/>
                  </c:spPr>
                </c15:leaderLines>
              </c:ext>
            </c:extLst>
          </c:dLbls>
          <c:cat>
            <c:strRef>
              <c:f>Sheet1!$A$2:$A$7</c:f>
              <c:strCache>
                <c:ptCount val="6"/>
                <c:pt idx="0">
                  <c:v>*贵州省</c:v>
                </c:pt>
                <c:pt idx="1">
                  <c:v>*广西壮族自治区</c:v>
                </c:pt>
                <c:pt idx="2">
                  <c:v>*浙江省</c:v>
                </c:pt>
                <c:pt idx="3">
                  <c:v>*福建省</c:v>
                </c:pt>
                <c:pt idx="4">
                  <c:v>海南省</c:v>
                </c:pt>
                <c:pt idx="5">
                  <c:v>广东省</c:v>
                </c:pt>
              </c:strCache>
            </c:strRef>
          </c:cat>
          <c:val>
            <c:numRef>
              <c:f>Sheet1!$B$2:$B$7</c:f>
              <c:numCache>
                <c:formatCode>0.00_);[Red]\(0.00\)</c:formatCode>
                <c:ptCount val="6"/>
                <c:pt idx="0">
                  <c:v>4000</c:v>
                </c:pt>
                <c:pt idx="1">
                  <c:v>4375</c:v>
                </c:pt>
                <c:pt idx="2">
                  <c:v>5700</c:v>
                </c:pt>
                <c:pt idx="3">
                  <c:v>6750</c:v>
                </c:pt>
                <c:pt idx="4">
                  <c:v>4631</c:v>
                </c:pt>
                <c:pt idx="5">
                  <c:v>6720</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972182824"/>
        <c:crosses val="autoZero"/>
        <c:auto val="1"/>
        <c:lblAlgn val="ctr"/>
        <c:lblOffset val="100"/>
        <c:noMultiLvlLbl val="0"/>
      </c:catAx>
      <c:valAx>
        <c:axId val="972182824"/>
        <c:scaling>
          <c:orientation val="minMax"/>
          <c:max val="10000"/>
          <c:min val="0"/>
        </c:scaling>
        <c:delete val="0"/>
        <c:axPos val="b"/>
        <c:numFmt formatCode="0.00_);[Red]\(0.00\)" sourceLinked="1"/>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972182432"/>
        <c:crosses val="autoZero"/>
        <c:crossBetween val="between"/>
        <c:majorUnit val="2000"/>
      </c:valAx>
      <c:spPr>
        <a:solidFill>
          <a:sysClr val="window" lastClr="FFFFFF"/>
        </a:solidFill>
        <a:ln>
          <a:noFill/>
        </a:ln>
        <a:effectLst/>
      </c:spPr>
    </c:plotArea>
    <c:plotVisOnly val="1"/>
    <c:dispBlanksAs val="gap"/>
    <c:showDLblsOverMax val="0"/>
  </c:chart>
  <c:spPr>
    <a:solidFill>
      <a:sysClr val="window" lastClr="FFFFFF"/>
    </a:solidFill>
    <a:ln w="9525" cap="flat" cmpd="sng" algn="ctr">
      <a:noFill/>
      <a:prstDash val="solid"/>
      <a:round/>
    </a:ln>
    <a:effectLst/>
  </c:spPr>
  <c:txPr>
    <a:bodyPr/>
    <a:lstStyle/>
    <a:p>
      <a:pPr>
        <a:defRPr lang="zh-CN"/>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8599945949166"/>
          <c:y val="0.0702875399361022"/>
          <c:w val="0.617121973677341"/>
          <c:h val="0.856281387798266"/>
        </c:manualLayout>
      </c:layout>
      <c:barChart>
        <c:barDir val="bar"/>
        <c:grouping val="clustered"/>
        <c:varyColors val="0"/>
        <c:ser>
          <c:idx val="0"/>
          <c:order val="0"/>
          <c:tx>
            <c:strRef>
              <c:f>Sheet1!$B$1</c:f>
              <c:strCache>
                <c:ptCount val="1"/>
                <c:pt idx="0">
                  <c:v>我工作的平均月收入（税前），大致____元/月（月收入包括工资、能折算为现金的福利等）</c:v>
                </c:pt>
              </c:strCache>
            </c:strRef>
          </c:tx>
          <c:spPr>
            <a:solidFill>
              <a:srgbClr val="0F6FC6"/>
            </a:solidFill>
            <a:ln>
              <a:solidFill>
                <a:srgbClr val="0F6FC6"/>
              </a:solidFill>
            </a:ln>
            <a:effectLst/>
          </c:spPr>
          <c:invertIfNegative val="0"/>
          <c:dPt>
            <c:idx val="0"/>
            <c:invertIfNegative val="0"/>
            <c:bubble3D val="0"/>
            <c:spPr>
              <a:solidFill>
                <a:srgbClr val="0F6FC6"/>
              </a:solidFill>
              <a:ln>
                <a:solidFill>
                  <a:srgbClr val="0F6FC6"/>
                </a:solidFill>
              </a:ln>
              <a:effectLst/>
            </c:spPr>
          </c:dPt>
          <c:dPt>
            <c:idx val="1"/>
            <c:invertIfNegative val="0"/>
            <c:bubble3D val="0"/>
            <c:spPr>
              <a:solidFill>
                <a:srgbClr val="0F6FC6"/>
              </a:solidFill>
              <a:ln>
                <a:solidFill>
                  <a:srgbClr val="0F6FC6"/>
                </a:solidFill>
              </a:ln>
              <a:effectLst/>
            </c:spPr>
          </c:dPt>
          <c:dPt>
            <c:idx val="2"/>
            <c:invertIfNegative val="0"/>
            <c:bubble3D val="0"/>
            <c:spPr>
              <a:solidFill>
                <a:srgbClr val="0F6FC6"/>
              </a:solidFill>
              <a:ln>
                <a:solidFill>
                  <a:srgbClr val="0F6FC6"/>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ysClr val="windowText" lastClr="000000">
                          <a:shade val="95000"/>
                          <a:satMod val="105000"/>
                        </a:sysClr>
                      </a:solidFill>
                      <a:prstDash val="solid"/>
                      <a:round/>
                    </a:ln>
                    <a:effectLst/>
                  </c:spPr>
                </c15:leaderLines>
              </c:ext>
            </c:extLst>
          </c:dLbls>
          <c:cat>
            <c:strRef>
              <c:f>Sheet1!$A$2:$A$7</c:f>
              <c:strCache>
                <c:ptCount val="6"/>
                <c:pt idx="0">
                  <c:v>*万宁市</c:v>
                </c:pt>
                <c:pt idx="1">
                  <c:v>*东方市</c:v>
                </c:pt>
                <c:pt idx="2">
                  <c:v>*琼海市</c:v>
                </c:pt>
                <c:pt idx="3">
                  <c:v>*澄迈县</c:v>
                </c:pt>
                <c:pt idx="4">
                  <c:v>三亚市</c:v>
                </c:pt>
                <c:pt idx="5">
                  <c:v>海口市</c:v>
                </c:pt>
              </c:strCache>
            </c:strRef>
          </c:cat>
          <c:val>
            <c:numRef>
              <c:f>Sheet1!$B$2:$B$7</c:f>
              <c:numCache>
                <c:formatCode>0.00_);[Red]\(0.00\)</c:formatCode>
                <c:ptCount val="6"/>
                <c:pt idx="0">
                  <c:v>2000</c:v>
                </c:pt>
                <c:pt idx="1">
                  <c:v>2750</c:v>
                </c:pt>
                <c:pt idx="2">
                  <c:v>3500</c:v>
                </c:pt>
                <c:pt idx="3">
                  <c:v>4500</c:v>
                </c:pt>
                <c:pt idx="4">
                  <c:v>3600</c:v>
                </c:pt>
                <c:pt idx="5">
                  <c:v>4996</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in"/>
        <c:tickLblPos val="nextTo"/>
        <c:spPr>
          <a:noFill/>
          <a:ln w="9525" cap="flat" cmpd="sng" algn="ctr">
            <a:solidFill>
              <a:srgbClr val="009DD9">
                <a:shade val="95000"/>
                <a:satMod val="105000"/>
              </a:srgbClr>
            </a:solidFill>
            <a:prstDash val="solid"/>
            <a:round/>
          </a:ln>
          <a:effectLst/>
        </c:spPr>
        <c:txPr>
          <a:bodyPr rot="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972182824"/>
        <c:crosses val="autoZero"/>
        <c:auto val="1"/>
        <c:lblAlgn val="ctr"/>
        <c:lblOffset val="100"/>
        <c:noMultiLvlLbl val="0"/>
      </c:catAx>
      <c:valAx>
        <c:axId val="972182824"/>
        <c:scaling>
          <c:orientation val="minMax"/>
          <c:max val="8000"/>
          <c:min val="0"/>
        </c:scaling>
        <c:delete val="1"/>
        <c:axPos val="b"/>
        <c:numFmt formatCode="0.00_);[Red]\(0.00\)" sourceLinked="1"/>
        <c:majorTickMark val="in"/>
        <c:minorTickMark val="none"/>
        <c:tickLblPos val="nextTo"/>
        <c:txPr>
          <a:bodyPr rot="-6000000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972182432"/>
        <c:crosses val="autoZero"/>
        <c:crossBetween val="between"/>
        <c:majorUnit val="2000"/>
      </c:valAx>
      <c:spPr>
        <a:solidFill>
          <a:sysClr val="window" lastClr="FFFFFF"/>
        </a:solidFill>
        <a:ln>
          <a:noFill/>
        </a:ln>
        <a:effectLst/>
      </c:spPr>
    </c:plotArea>
    <c:plotVisOnly val="1"/>
    <c:dispBlanksAs val="gap"/>
    <c:showDLblsOverMax val="0"/>
  </c:chart>
  <c:spPr>
    <a:solidFill>
      <a:sysClr val="window" lastClr="FFFFFF"/>
    </a:solidFill>
    <a:ln w="9525" cap="flat" cmpd="sng" algn="ctr">
      <a:noFill/>
      <a:prstDash val="solid"/>
      <a:round/>
    </a:ln>
    <a:effectLst/>
  </c:spPr>
  <c:txPr>
    <a:bodyPr/>
    <a:lstStyle/>
    <a:p>
      <a:pPr>
        <a:defRPr lang="zh-CN"/>
      </a:p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98307501036055"/>
          <c:y val="0.0163854801168723"/>
          <c:w val="0.467414283740848"/>
          <c:h val="0.949013987580821"/>
        </c:manualLayout>
      </c:layout>
      <c:barChart>
        <c:barDir val="bar"/>
        <c:grouping val="clustered"/>
        <c:varyColors val="0"/>
        <c:ser>
          <c:idx val="0"/>
          <c:order val="0"/>
          <c:tx>
            <c:strRef>
              <c:f>Sheet1!$B$1</c:f>
              <c:strCache>
                <c:ptCount val="1"/>
                <c:pt idx="0">
                  <c:v>1</c:v>
                </c:pt>
              </c:strCache>
            </c:strRef>
          </c:tx>
          <c:spPr>
            <a:solidFill>
              <a:srgbClr val="0F6FC6"/>
            </a:solidFill>
            <a:ln>
              <a:solidFill>
                <a:srgbClr val="0F6FC6"/>
              </a:solidFill>
            </a:ln>
            <a:effectLst/>
          </c:spPr>
          <c:invertIfNegative val="0"/>
          <c:dPt>
            <c:idx val="0"/>
            <c:invertIfNegative val="0"/>
            <c:bubble3D val="0"/>
            <c:spPr>
              <a:solidFill>
                <a:srgbClr val="0F6FC6"/>
              </a:solidFill>
              <a:ln>
                <a:solidFill>
                  <a:srgbClr val="0F6FC6"/>
                </a:solidFill>
              </a:ln>
              <a:effectLst/>
            </c:spPr>
          </c:dPt>
          <c:dPt>
            <c:idx val="1"/>
            <c:invertIfNegative val="0"/>
            <c:bubble3D val="0"/>
            <c:spPr>
              <a:solidFill>
                <a:srgbClr val="0F6FC6"/>
              </a:solidFill>
              <a:ln>
                <a:solidFill>
                  <a:srgbClr val="0F6FC6"/>
                </a:solidFill>
              </a:ln>
              <a:effectLst/>
            </c:spPr>
          </c:dPt>
          <c:dPt>
            <c:idx val="2"/>
            <c:invertIfNegative val="0"/>
            <c:bubble3D val="0"/>
            <c:spPr>
              <a:solidFill>
                <a:srgbClr val="0F6FC6"/>
              </a:solidFill>
              <a:ln>
                <a:solidFill>
                  <a:srgbClr val="0F6FC6"/>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ysClr val="windowText" lastClr="000000">
                          <a:shade val="95000"/>
                          <a:satMod val="105000"/>
                        </a:sysClr>
                      </a:solidFill>
                      <a:prstDash val="solid"/>
                      <a:round/>
                    </a:ln>
                    <a:effectLst/>
                  </c:spPr>
                </c15:leaderLines>
              </c:ext>
            </c:extLst>
          </c:dLbls>
          <c:cat>
            <c:strRef>
              <c:f>Sheet1!$A$2:$A$10</c:f>
              <c:strCache>
                <c:ptCount val="9"/>
                <c:pt idx="0">
                  <c:v>其他</c:v>
                </c:pt>
                <c:pt idx="1">
                  <c:v>受伴侣影响</c:v>
                </c:pt>
                <c:pt idx="2">
                  <c:v>受当地人才政策吸引</c:v>
                </c:pt>
                <c:pt idx="3">
                  <c:v>当地医疗、教育等资源好</c:v>
                </c:pt>
                <c:pt idx="4">
                  <c:v>当地生活成本低</c:v>
                </c:pt>
                <c:pt idx="5">
                  <c:v>当地自然环境更宜居</c:v>
                </c:pt>
                <c:pt idx="6">
                  <c:v>当地亲朋好友多</c:v>
                </c:pt>
                <c:pt idx="7">
                  <c:v>当地就业机会多、前景好</c:v>
                </c:pt>
                <c:pt idx="8">
                  <c:v>在当地碰巧找到理想工作</c:v>
                </c:pt>
              </c:strCache>
            </c:strRef>
          </c:cat>
          <c:val>
            <c:numRef>
              <c:f>Sheet1!$B$2:$B$10</c:f>
              <c:numCache>
                <c:formatCode>0.00%</c:formatCode>
                <c:ptCount val="9"/>
                <c:pt idx="0">
                  <c:v>0.3509</c:v>
                </c:pt>
                <c:pt idx="1">
                  <c:v>0.0526</c:v>
                </c:pt>
                <c:pt idx="2">
                  <c:v>0.0965</c:v>
                </c:pt>
                <c:pt idx="3">
                  <c:v>0.114</c:v>
                </c:pt>
                <c:pt idx="4">
                  <c:v>0.1404</c:v>
                </c:pt>
                <c:pt idx="5">
                  <c:v>0.1667</c:v>
                </c:pt>
                <c:pt idx="6">
                  <c:v>0.2193</c:v>
                </c:pt>
                <c:pt idx="7">
                  <c:v>0.2807</c:v>
                </c:pt>
                <c:pt idx="8">
                  <c:v>0.3596</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noFill/>
            <a:prstDash val="solid"/>
            <a:round/>
          </a:ln>
          <a:effectLst/>
        </c:spPr>
        <c:txPr>
          <a:bodyPr rot="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972182824"/>
        <c:crosses val="autoZero"/>
        <c:auto val="1"/>
        <c:lblAlgn val="ctr"/>
        <c:lblOffset val="100"/>
        <c:noMultiLvlLbl val="0"/>
      </c:catAx>
      <c:valAx>
        <c:axId val="972182824"/>
        <c:scaling>
          <c:orientation val="minMax"/>
          <c:max val="0.4"/>
          <c:min val="0"/>
        </c:scaling>
        <c:delete val="0"/>
        <c:axPos val="b"/>
        <c:numFmt formatCode="0.00%" sourceLinked="1"/>
        <c:majorTickMark val="out"/>
        <c:minorTickMark val="none"/>
        <c:tickLblPos val="nextTo"/>
        <c:spPr>
          <a:noFill/>
          <a:ln w="9525" cap="flat" cmpd="sng" algn="ctr">
            <a:solidFill>
              <a:sysClr val="windowText" lastClr="000000">
                <a:tint val="75000"/>
                <a:shade val="95000"/>
                <a:satMod val="105000"/>
              </a:sysClr>
            </a:solidFill>
            <a:prstDash val="solid"/>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972182432"/>
        <c:crosses val="autoZero"/>
        <c:crossBetween val="between"/>
        <c:majorUnit val="0.2"/>
      </c:valAx>
      <c:spPr>
        <a:solidFill>
          <a:sysClr val="window" lastClr="FFFFFF"/>
        </a:solidFill>
        <a:ln>
          <a:noFill/>
        </a:ln>
        <a:effectLst/>
      </c:spPr>
    </c:plotArea>
    <c:plotVisOnly val="1"/>
    <c:dispBlanksAs val="gap"/>
    <c:showDLblsOverMax val="0"/>
  </c:chart>
  <c:spPr>
    <a:solidFill>
      <a:sysClr val="window" lastClr="FFFFFF"/>
    </a:solidFill>
    <a:ln w="9525" cap="flat" cmpd="sng" algn="ctr">
      <a:noFill/>
      <a:prstDash val="solid"/>
      <a:round/>
    </a:ln>
    <a:effectLst/>
  </c:spPr>
  <c:txPr>
    <a:bodyPr/>
    <a:lstStyle/>
    <a:p>
      <a:pPr>
        <a:defRPr lang="zh-CN"/>
      </a:pP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5993298667605"/>
          <c:y val="0.0497203231821007"/>
          <c:w val="0.494503931029879"/>
          <c:h val="0.825657840004307"/>
        </c:manualLayout>
      </c:layout>
      <c:barChart>
        <c:barDir val="bar"/>
        <c:grouping val="clustered"/>
        <c:varyColors val="0"/>
        <c:ser>
          <c:idx val="0"/>
          <c:order val="0"/>
          <c:tx>
            <c:strRef>
              <c:f>Sheet1!$B$1</c:f>
              <c:strCache>
                <c:ptCount val="1"/>
                <c:pt idx="0">
                  <c:v>占比</c:v>
                </c:pt>
              </c:strCache>
            </c:strRef>
          </c:tx>
          <c:spPr>
            <a:solidFill>
              <a:srgbClr val="0F6FC6"/>
            </a:solidFill>
            <a:ln>
              <a:noFill/>
            </a:ln>
            <a:effectLst/>
          </c:spPr>
          <c:invertIfNegative val="0"/>
          <c:dPt>
            <c:idx val="0"/>
            <c:invertIfNegative val="0"/>
            <c:bubble3D val="0"/>
            <c:spPr>
              <a:solidFill>
                <a:srgbClr val="0F6FC6"/>
              </a:solidFill>
              <a:ln>
                <a:noFill/>
              </a:ln>
              <a:effectLst/>
            </c:spPr>
          </c:dPt>
          <c:dPt>
            <c:idx val="1"/>
            <c:invertIfNegative val="0"/>
            <c:bubble3D val="0"/>
            <c:spPr>
              <a:solidFill>
                <a:srgbClr val="0F6FC6"/>
              </a:solidFill>
              <a:ln>
                <a:noFill/>
              </a:ln>
              <a:effectLst/>
            </c:spPr>
          </c:dPt>
          <c:dPt>
            <c:idx val="2"/>
            <c:invertIfNegative val="0"/>
            <c:bubble3D val="0"/>
            <c:spPr>
              <a:solidFill>
                <a:srgbClr val="0F6FC6"/>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ysClr val="windowText" lastClr="000000">
                          <a:shade val="95000"/>
                          <a:satMod val="105000"/>
                        </a:sysClr>
                      </a:solidFill>
                      <a:prstDash val="solid"/>
                      <a:round/>
                    </a:ln>
                    <a:effectLst/>
                  </c:spPr>
                </c15:leaderLines>
              </c:ext>
            </c:extLst>
          </c:dLbls>
          <c:cat>
            <c:strRef>
              <c:f>Sheet1!$A$2:$A$11</c:f>
              <c:strCache>
                <c:ptCount val="10"/>
                <c:pt idx="0">
                  <c:v>农、林、牧、渔业</c:v>
                </c:pt>
                <c:pt idx="1">
                  <c:v>住宿和餐饮业</c:v>
                </c:pt>
                <c:pt idx="2">
                  <c:v>租赁和商务服务业</c:v>
                </c:pt>
                <c:pt idx="3">
                  <c:v>交通运输、仓储和邮政业</c:v>
                </c:pt>
                <c:pt idx="4">
                  <c:v>卫生和社会工作</c:v>
                </c:pt>
                <c:pt idx="5">
                  <c:v>信息传输、软件和信息技术服务业</c:v>
                </c:pt>
                <c:pt idx="6">
                  <c:v>公共管理、社会保障和社会组织</c:v>
                </c:pt>
                <c:pt idx="7">
                  <c:v>教育</c:v>
                </c:pt>
                <c:pt idx="8">
                  <c:v>建筑业</c:v>
                </c:pt>
                <c:pt idx="9">
                  <c:v>制造业</c:v>
                </c:pt>
              </c:strCache>
            </c:strRef>
          </c:cat>
          <c:val>
            <c:numRef>
              <c:f>Sheet1!$B$2:$B$11</c:f>
              <c:numCache>
                <c:formatCode>0.00%</c:formatCode>
                <c:ptCount val="10"/>
                <c:pt idx="0">
                  <c:v>0.0275</c:v>
                </c:pt>
                <c:pt idx="1">
                  <c:v>0.0275</c:v>
                </c:pt>
                <c:pt idx="2">
                  <c:v>0.0275</c:v>
                </c:pt>
                <c:pt idx="3">
                  <c:v>0.0459</c:v>
                </c:pt>
                <c:pt idx="4">
                  <c:v>0.055</c:v>
                </c:pt>
                <c:pt idx="5">
                  <c:v>0.055</c:v>
                </c:pt>
                <c:pt idx="6">
                  <c:v>0.055</c:v>
                </c:pt>
                <c:pt idx="7">
                  <c:v>0.1376</c:v>
                </c:pt>
                <c:pt idx="8">
                  <c:v>0.1468</c:v>
                </c:pt>
                <c:pt idx="9">
                  <c:v>0.2569</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972182824"/>
        <c:crosses val="autoZero"/>
        <c:auto val="1"/>
        <c:lblAlgn val="ctr"/>
        <c:lblOffset val="100"/>
        <c:noMultiLvlLbl val="0"/>
      </c:catAx>
      <c:valAx>
        <c:axId val="972182824"/>
        <c:scaling>
          <c:orientation val="minMax"/>
          <c:max val="0.3"/>
          <c:min val="0"/>
        </c:scaling>
        <c:delete val="0"/>
        <c:axPos val="b"/>
        <c:numFmt formatCode="0.00%" sourceLinked="1"/>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972182432"/>
        <c:crosses val="autoZero"/>
        <c:crossBetween val="between"/>
        <c:majorUnit val="0.1"/>
      </c:valAx>
      <c:spPr>
        <a:solidFill>
          <a:sysClr val="window" lastClr="FFFFFF"/>
        </a:solidFill>
        <a:ln>
          <a:noFill/>
        </a:ln>
        <a:effectLst/>
      </c:spPr>
    </c:plotArea>
    <c:plotVisOnly val="1"/>
    <c:dispBlanksAs val="gap"/>
    <c:showDLblsOverMax val="0"/>
  </c:chart>
  <c:spPr>
    <a:solidFill>
      <a:sysClr val="window" lastClr="FFFFFF"/>
    </a:solidFill>
    <a:ln w="9525" cap="flat" cmpd="sng" algn="ctr">
      <a:noFill/>
      <a:prstDash val="solid"/>
      <a:round/>
    </a:ln>
    <a:effectLst/>
  </c:spPr>
  <c:txPr>
    <a:bodyPr/>
    <a:lstStyle/>
    <a:p>
      <a:pPr>
        <a:defRPr lang="zh-CN"/>
      </a:pP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8599945949166"/>
          <c:y val="0.0163854801168723"/>
          <c:w val="0.617121973677341"/>
          <c:h val="0.879569648388546"/>
        </c:manualLayout>
      </c:layout>
      <c:barChart>
        <c:barDir val="bar"/>
        <c:grouping val="clustered"/>
        <c:varyColors val="0"/>
        <c:ser>
          <c:idx val="0"/>
          <c:order val="0"/>
          <c:tx>
            <c:strRef>
              <c:f>Sheet1!$B$1</c:f>
              <c:strCache>
                <c:ptCount val="1"/>
                <c:pt idx="0">
                  <c:v>占比</c:v>
                </c:pt>
              </c:strCache>
            </c:strRef>
          </c:tx>
          <c:spPr>
            <a:solidFill>
              <a:srgbClr val="0F6FC6"/>
            </a:solidFill>
            <a:ln>
              <a:noFill/>
            </a:ln>
            <a:effectLst/>
          </c:spPr>
          <c:invertIfNegative val="0"/>
          <c:dPt>
            <c:idx val="0"/>
            <c:invertIfNegative val="0"/>
            <c:bubble3D val="0"/>
            <c:spPr>
              <a:solidFill>
                <a:srgbClr val="0F6FC6"/>
              </a:solidFill>
              <a:ln>
                <a:noFill/>
              </a:ln>
              <a:effectLst/>
            </c:spPr>
          </c:dPt>
          <c:dPt>
            <c:idx val="1"/>
            <c:invertIfNegative val="0"/>
            <c:bubble3D val="0"/>
            <c:spPr>
              <a:solidFill>
                <a:srgbClr val="0F6FC6"/>
              </a:solidFill>
              <a:ln>
                <a:noFill/>
              </a:ln>
              <a:effectLst/>
            </c:spPr>
          </c:dPt>
          <c:dPt>
            <c:idx val="2"/>
            <c:invertIfNegative val="0"/>
            <c:bubble3D val="0"/>
            <c:spPr>
              <a:solidFill>
                <a:srgbClr val="0F6FC6"/>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ysClr val="windowText" lastClr="000000">
                          <a:shade val="95000"/>
                          <a:satMod val="105000"/>
                        </a:sysClr>
                      </a:solidFill>
                      <a:prstDash val="solid"/>
                      <a:round/>
                    </a:ln>
                    <a:effectLst/>
                  </c:spPr>
                </c15:leaderLines>
              </c:ext>
            </c:extLst>
          </c:dLbls>
          <c:cat>
            <c:strRef>
              <c:f>Sheet1!$A$2:$A$11</c:f>
              <c:strCache>
                <c:ptCount val="10"/>
                <c:pt idx="0">
                  <c:v>艺术/体育类</c:v>
                </c:pt>
                <c:pt idx="1">
                  <c:v>商业服务类</c:v>
                </c:pt>
                <c:pt idx="2">
                  <c:v>标准化/质量/安全/检验类</c:v>
                </c:pt>
                <c:pt idx="3">
                  <c:v>计算机/互联网类</c:v>
                </c:pt>
                <c:pt idx="4">
                  <c:v>人力/行政/营销类</c:v>
                </c:pt>
                <c:pt idx="5">
                  <c:v>电气/电力/电子/通信类</c:v>
                </c:pt>
                <c:pt idx="6">
                  <c:v>化工/冶金/机械类</c:v>
                </c:pt>
                <c:pt idx="7">
                  <c:v>建筑建材类</c:v>
                </c:pt>
                <c:pt idx="8">
                  <c:v>教育/培训/科研类</c:v>
                </c:pt>
                <c:pt idx="9">
                  <c:v>医疗卫生类</c:v>
                </c:pt>
              </c:strCache>
            </c:strRef>
          </c:cat>
          <c:val>
            <c:numRef>
              <c:f>Sheet1!$B$2:$B$11</c:f>
              <c:numCache>
                <c:formatCode>0.00%</c:formatCode>
                <c:ptCount val="10"/>
                <c:pt idx="0">
                  <c:v>0.0208</c:v>
                </c:pt>
                <c:pt idx="1">
                  <c:v>0.0313</c:v>
                </c:pt>
                <c:pt idx="2">
                  <c:v>0.0417</c:v>
                </c:pt>
                <c:pt idx="3">
                  <c:v>0.0625</c:v>
                </c:pt>
                <c:pt idx="4">
                  <c:v>0.0938</c:v>
                </c:pt>
                <c:pt idx="5">
                  <c:v>0.0938</c:v>
                </c:pt>
                <c:pt idx="6">
                  <c:v>0.0938</c:v>
                </c:pt>
                <c:pt idx="7">
                  <c:v>0.1146</c:v>
                </c:pt>
                <c:pt idx="8">
                  <c:v>0.1146</c:v>
                </c:pt>
                <c:pt idx="9">
                  <c:v>0.2083</c:v>
                </c:pt>
              </c:numCache>
            </c:numRef>
          </c:val>
        </c:ser>
        <c:dLbls>
          <c:showLegendKey val="0"/>
          <c:showVal val="0"/>
          <c:showCatName val="0"/>
          <c:showSerName val="0"/>
          <c:showPercent val="0"/>
          <c:showBubbleSize val="0"/>
        </c:dLbls>
        <c:gapWidth val="99"/>
        <c:axId val="388741360"/>
        <c:axId val="388748976"/>
      </c:barChart>
      <c:catAx>
        <c:axId val="388741360"/>
        <c:scaling>
          <c:orientation val="minMax"/>
        </c:scaling>
        <c:delete val="0"/>
        <c:axPos val="l"/>
        <c:numFmt formatCode="General" sourceLinked="0"/>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388748976"/>
        <c:crosses val="autoZero"/>
        <c:auto val="1"/>
        <c:lblAlgn val="ctr"/>
        <c:lblOffset val="100"/>
        <c:noMultiLvlLbl val="0"/>
      </c:catAx>
      <c:valAx>
        <c:axId val="388748976"/>
        <c:scaling>
          <c:orientation val="minMax"/>
          <c:max val="0.25"/>
          <c:min val="0"/>
        </c:scaling>
        <c:delete val="0"/>
        <c:axPos val="b"/>
        <c:numFmt formatCode="0.00%" sourceLinked="1"/>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388741360"/>
        <c:crosses val="autoZero"/>
        <c:crossBetween val="between"/>
        <c:majorUnit val="0.1"/>
      </c:valAx>
      <c:spPr>
        <a:solidFill>
          <a:sysClr val="window" lastClr="FFFFFF"/>
        </a:solidFill>
        <a:ln>
          <a:noFill/>
        </a:ln>
        <a:effectLst/>
      </c:spPr>
    </c:plotArea>
    <c:plotVisOnly val="1"/>
    <c:dispBlanksAs val="gap"/>
    <c:showDLblsOverMax val="0"/>
  </c:chart>
  <c:spPr>
    <a:solidFill>
      <a:sysClr val="window" lastClr="FFFFFF"/>
    </a:solidFill>
    <a:ln w="9525" cap="flat" cmpd="sng" algn="ctr">
      <a:noFill/>
      <a:prstDash val="solid"/>
      <a:round/>
    </a:ln>
    <a:effectLst/>
  </c:spPr>
  <c:txPr>
    <a:bodyPr/>
    <a:lstStyle/>
    <a:p>
      <a:pPr>
        <a:defRPr lang="zh-CN"/>
      </a:pP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69795239009758"/>
          <c:y val="0.0251764691941724"/>
          <c:w val="0.805787743074867"/>
          <c:h val="0.944675430215575"/>
        </c:manualLayout>
      </c:layout>
      <c:barChart>
        <c:barDir val="bar"/>
        <c:grouping val="clustered"/>
        <c:varyColors val="0"/>
        <c:ser>
          <c:idx val="0"/>
          <c:order val="0"/>
          <c:tx>
            <c:strRef>
              <c:f>Sheet1!$B$1</c:f>
              <c:strCache>
                <c:ptCount val="1"/>
                <c:pt idx="0">
                  <c:v>我工作的平均月收入（</c:v>
                </c:pt>
              </c:strCache>
            </c:strRef>
          </c:tx>
          <c:spPr>
            <a:solidFill>
              <a:srgbClr val="0F6FC6"/>
            </a:solidFill>
            <a:ln>
              <a:noFill/>
            </a:ln>
          </c:spPr>
          <c:invertIfNegative val="0"/>
          <c:dPt>
            <c:idx val="2"/>
            <c:invertIfNegative val="0"/>
            <c:bubble3D val="0"/>
          </c:dPt>
          <c:dLbls>
            <c:numFmt formatCode="0.00_);[Red]\(0.00\)" sourceLinked="0"/>
            <c:spPr>
              <a:noFill/>
              <a:ln>
                <a:noFill/>
              </a:ln>
              <a:effectLst/>
            </c:spPr>
            <c:txPr>
              <a:bodyPr rot="0" spcFirstLastPara="0" vertOverflow="ellipsis" vert="horz" wrap="square" lIns="38100" tIns="19050" rIns="38100" bIns="19050" anchor="ctr" anchorCtr="0"/>
              <a:lstStyle/>
              <a:p>
                <a:pPr algn="l">
                  <a:defRPr lang="zh-CN" sz="900" b="0" i="0" u="none" strike="noStrike" kern="1200" baseline="0">
                    <a:solidFill>
                      <a:sysClr val="windowText" lastClr="000000"/>
                    </a:solidFill>
                    <a:latin typeface="Arial" panose="020B0604020202020204" pitchFamily="2"/>
                    <a:ea typeface="+mn-ea"/>
                    <a:cs typeface="Arial" panose="020B0604020202020204" pitchFamily="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Sheet1!$A$2:$A$12</c:f>
              <c:strCache>
                <c:ptCount val="11"/>
                <c:pt idx="0">
                  <c:v>*金融/经济类</c:v>
                </c:pt>
                <c:pt idx="1">
                  <c:v>*贸易/物流类</c:v>
                </c:pt>
                <c:pt idx="2">
                  <c:v>*商业服务类</c:v>
                </c:pt>
                <c:pt idx="3">
                  <c:v>*标准化/质量/安全/检验类</c:v>
                </c:pt>
                <c:pt idx="4">
                  <c:v>计算机/互联网类</c:v>
                </c:pt>
                <c:pt idx="5">
                  <c:v>建筑建材类</c:v>
                </c:pt>
                <c:pt idx="6">
                  <c:v>教育/培训/科研类</c:v>
                </c:pt>
                <c:pt idx="7">
                  <c:v>医疗卫生类</c:v>
                </c:pt>
                <c:pt idx="8">
                  <c:v>人力/行政/营销类</c:v>
                </c:pt>
                <c:pt idx="9">
                  <c:v>化工/冶金/机械类</c:v>
                </c:pt>
                <c:pt idx="10">
                  <c:v>电气/电力/电子/通信类</c:v>
                </c:pt>
              </c:strCache>
            </c:strRef>
          </c:cat>
          <c:val>
            <c:numRef>
              <c:f>Sheet1!$B$2:$B$12</c:f>
              <c:numCache>
                <c:formatCode>0.00_);[Red]\(0.00\)</c:formatCode>
                <c:ptCount val="11"/>
                <c:pt idx="0">
                  <c:v>4000</c:v>
                </c:pt>
                <c:pt idx="1">
                  <c:v>4250</c:v>
                </c:pt>
                <c:pt idx="2">
                  <c:v>4267</c:v>
                </c:pt>
                <c:pt idx="3">
                  <c:v>4333</c:v>
                </c:pt>
                <c:pt idx="4">
                  <c:v>3750</c:v>
                </c:pt>
                <c:pt idx="5">
                  <c:v>4700</c:v>
                </c:pt>
                <c:pt idx="6">
                  <c:v>5300</c:v>
                </c:pt>
                <c:pt idx="7">
                  <c:v>5545</c:v>
                </c:pt>
                <c:pt idx="8">
                  <c:v>5589</c:v>
                </c:pt>
                <c:pt idx="9">
                  <c:v>5812</c:v>
                </c:pt>
                <c:pt idx="10">
                  <c:v>5944</c:v>
                </c:pt>
              </c:numCache>
            </c:numRef>
          </c:val>
        </c:ser>
        <c:ser>
          <c:idx val="1"/>
          <c:order val="1"/>
          <c:spPr>
            <a:solidFill>
              <a:srgbClr val="009DD9"/>
            </a:solidFill>
            <a:ln>
              <a:noFill/>
            </a:ln>
          </c:spPr>
          <c:invertIfNegative val="0"/>
          <c:dLbls>
            <c:delete val="1"/>
          </c:dLbls>
          <c:cat>
            <c:strRef>
              <c:f>Sheet1!$A$2:$A$7</c:f>
              <c:strCache>
                <c:ptCount val="11"/>
                <c:pt idx="0">
                  <c:v>*金融/经济类</c:v>
                </c:pt>
                <c:pt idx="1">
                  <c:v>*贸易/物流类</c:v>
                </c:pt>
                <c:pt idx="2">
                  <c:v>*商业服务类</c:v>
                </c:pt>
                <c:pt idx="3">
                  <c:v>*标准化/质量/安全/检验类</c:v>
                </c:pt>
                <c:pt idx="4">
                  <c:v>计算机/互联网类</c:v>
                </c:pt>
                <c:pt idx="5">
                  <c:v>建筑建材类</c:v>
                </c:pt>
                <c:pt idx="6">
                  <c:v>教育/培训/科研类</c:v>
                </c:pt>
                <c:pt idx="7">
                  <c:v>医疗卫生类</c:v>
                </c:pt>
                <c:pt idx="8">
                  <c:v>人力/行政/营销类</c:v>
                </c:pt>
                <c:pt idx="9">
                  <c:v>化工/冶金/机械类</c:v>
                </c:pt>
                <c:pt idx="10">
                  <c:v>电气/电力/电子/通信类</c:v>
                </c:pt>
              </c:strCache>
            </c:strRef>
          </c:cat>
          <c:val>
            <c:numRef>
              <c:f>Sheet1!$A$2:$A$7</c:f>
              <c:numCache>
                <c:formatCode>General</c:formatCode>
                <c:ptCount val="6"/>
                <c:pt idx="0">
                  <c:v>0</c:v>
                </c:pt>
                <c:pt idx="1">
                  <c:v>0</c:v>
                </c:pt>
                <c:pt idx="2">
                  <c:v>0</c:v>
                </c:pt>
                <c:pt idx="3">
                  <c:v>0</c:v>
                </c:pt>
                <c:pt idx="4">
                  <c:v>0</c:v>
                </c:pt>
                <c:pt idx="5">
                  <c:v>0</c:v>
                </c:pt>
              </c:numCache>
            </c:numRef>
          </c:val>
        </c:ser>
        <c:dLbls>
          <c:showLegendKey val="0"/>
          <c:showVal val="1"/>
          <c:showCatName val="0"/>
          <c:showSerName val="0"/>
          <c:showPercent val="0"/>
          <c:showBubbleSize val="0"/>
        </c:dLbls>
        <c:gapWidth val="30"/>
        <c:axId val="972181256"/>
        <c:axId val="972181648"/>
      </c:barChart>
      <c:catAx>
        <c:axId val="972181256"/>
        <c:scaling>
          <c:orientation val="minMax"/>
        </c:scaling>
        <c:delete val="0"/>
        <c:axPos val="l"/>
        <c:numFmt formatCode="General" sourceLinked="1"/>
        <c:majorTickMark val="none"/>
        <c:minorTickMark val="none"/>
        <c:tickLblPos val="nextTo"/>
        <c:spPr>
          <a:noFill/>
          <a:ln w="12700" cap="flat" cmpd="sng" algn="ctr">
            <a:solidFill>
              <a:sysClr val="window" lastClr="FFFFFF">
                <a:lumMod val="50000"/>
              </a:sysClr>
            </a:solidFill>
            <a:prstDash val="solid"/>
            <a:round/>
          </a:ln>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972181648"/>
        <c:crosses val="autoZero"/>
        <c:auto val="1"/>
        <c:lblAlgn val="ctr"/>
        <c:lblOffset val="100"/>
        <c:tickLblSkip val="1"/>
        <c:noMultiLvlLbl val="0"/>
      </c:catAx>
      <c:valAx>
        <c:axId val="972181648"/>
        <c:scaling>
          <c:orientation val="minMax"/>
          <c:max val="8000"/>
          <c:min val="0"/>
        </c:scaling>
        <c:delete val="0"/>
        <c:axPos val="b"/>
        <c:numFmt formatCode="0.00_);[Red]\(0.00\)" sourceLinked="1"/>
        <c:majorTickMark val="in"/>
        <c:minorTickMark val="none"/>
        <c:tickLblPos val="nextTo"/>
        <c:spPr>
          <a:noFill/>
          <a:ln w="9525" cap="flat" cmpd="sng" algn="ctr">
            <a:solidFill>
              <a:sysClr val="windowText" lastClr="000000">
                <a:tint val="75000"/>
                <a:shade val="95000"/>
                <a:satMod val="105000"/>
              </a:sysClr>
            </a:solidFill>
            <a:prstDash val="solid"/>
            <a:round/>
          </a:ln>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972181256"/>
        <c:crosses val="autoZero"/>
        <c:crossBetween val="between"/>
        <c:majorUnit val="2000"/>
      </c:valAx>
      <c:spPr>
        <a:solidFill>
          <a:sysClr val="window" lastClr="FFFFFF"/>
        </a:solidFill>
        <a:ln>
          <a:noFill/>
        </a:ln>
      </c:spPr>
    </c:plotArea>
    <c:plotVisOnly val="1"/>
    <c:dispBlanksAs val="gap"/>
    <c:showDLblsOverMax val="0"/>
  </c:chart>
  <c:spPr>
    <a:solidFill>
      <a:sysClr val="window" lastClr="FFFFFF"/>
    </a:solidFill>
    <a:ln w="9525" cap="flat" cmpd="sng" algn="ctr">
      <a:noFill/>
      <a:prstDash val="solid"/>
      <a:round/>
    </a:ln>
  </c:spPr>
  <c:txPr>
    <a:bodyPr/>
    <a:lstStyle/>
    <a:p>
      <a:pPr>
        <a:defRPr lang="zh-CN" sz="1000"/>
      </a:pP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9473192274656"/>
          <c:y val="0.023968736809932"/>
          <c:w val="0.464121711437551"/>
          <c:h val="0.901903153972667"/>
        </c:manualLayout>
      </c:layout>
      <c:barChart>
        <c:barDir val="bar"/>
        <c:grouping val="clustered"/>
        <c:varyColors val="0"/>
        <c:ser>
          <c:idx val="0"/>
          <c:order val="0"/>
          <c:tx>
            <c:strRef>
              <c:f>Sheet1!$B$1</c:f>
              <c:strCache>
                <c:ptCount val="1"/>
                <c:pt idx="0">
                  <c:v>工作总体</c:v>
                </c:pt>
              </c:strCache>
            </c:strRef>
          </c:tx>
          <c:spPr>
            <a:solidFill>
              <a:srgbClr val="0F6FC6"/>
            </a:solidFill>
            <a:ln>
              <a:noFill/>
            </a:ln>
          </c:spPr>
          <c:invertIfNegative val="0"/>
          <c:dPt>
            <c:idx val="0"/>
            <c:invertIfNegative val="0"/>
            <c:bubble3D val="0"/>
          </c:dPt>
          <c:dPt>
            <c:idx val="1"/>
            <c:invertIfNegative val="0"/>
            <c:bubble3D val="0"/>
          </c:dPt>
          <c:dPt>
            <c:idx val="2"/>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Sheet1!$A$2:$A$12</c:f>
              <c:strCache>
                <c:ptCount val="11"/>
                <c:pt idx="0">
                  <c:v>*金融/经济类</c:v>
                </c:pt>
                <c:pt idx="1">
                  <c:v>*贸易/物流类</c:v>
                </c:pt>
                <c:pt idx="2">
                  <c:v>*标准化/质量/安全/检验类</c:v>
                </c:pt>
                <c:pt idx="3">
                  <c:v>*商业服务类</c:v>
                </c:pt>
                <c:pt idx="4">
                  <c:v>建筑建材类</c:v>
                </c:pt>
                <c:pt idx="5">
                  <c:v>计算机/互联网类</c:v>
                </c:pt>
                <c:pt idx="6">
                  <c:v>电气/电力/电子/通信类</c:v>
                </c:pt>
                <c:pt idx="7">
                  <c:v>教育/培训/科研类</c:v>
                </c:pt>
                <c:pt idx="8">
                  <c:v>医疗卫生类</c:v>
                </c:pt>
                <c:pt idx="9">
                  <c:v>化工/冶金/机械类</c:v>
                </c:pt>
                <c:pt idx="10">
                  <c:v>人力/行政/营销类</c:v>
                </c:pt>
              </c:strCache>
            </c:strRef>
          </c:cat>
          <c:val>
            <c:numRef>
              <c:f>Sheet1!$B$2:$B$12</c:f>
              <c:numCache>
                <c:formatCode>0.00%</c:formatCode>
                <c:ptCount val="11"/>
                <c:pt idx="0">
                  <c:v>1</c:v>
                </c:pt>
                <c:pt idx="1">
                  <c:v>1</c:v>
                </c:pt>
                <c:pt idx="2">
                  <c:v>1</c:v>
                </c:pt>
                <c:pt idx="3">
                  <c:v>1</c:v>
                </c:pt>
                <c:pt idx="4">
                  <c:v>0.8</c:v>
                </c:pt>
                <c:pt idx="5">
                  <c:v>1</c:v>
                </c:pt>
                <c:pt idx="6">
                  <c:v>1</c:v>
                </c:pt>
                <c:pt idx="7">
                  <c:v>1</c:v>
                </c:pt>
                <c:pt idx="8">
                  <c:v>1</c:v>
                </c:pt>
                <c:pt idx="9">
                  <c:v>1</c:v>
                </c:pt>
                <c:pt idx="10">
                  <c:v>1</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ysClr val="windowText" lastClr="000000">
                <a:tint val="75000"/>
                <a:shade val="95000"/>
                <a:satMod val="105000"/>
              </a:sysClr>
            </a:solidFill>
            <a:prstDash val="solid"/>
            <a:round/>
          </a:ln>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972182824"/>
        <c:crosses val="autoZero"/>
        <c:auto val="1"/>
        <c:lblAlgn val="ctr"/>
        <c:lblOffset val="100"/>
        <c:noMultiLvlLbl val="0"/>
      </c:catAx>
      <c:valAx>
        <c:axId val="972182824"/>
        <c:scaling>
          <c:orientation val="minMax"/>
          <c:max val="1"/>
          <c:min val="0"/>
        </c:scaling>
        <c:delete val="0"/>
        <c:axPos val="b"/>
        <c:numFmt formatCode="0.00%" sourceLinked="1"/>
        <c:majorTickMark val="in"/>
        <c:minorTickMark val="none"/>
        <c:tickLblPos val="nextTo"/>
        <c:spPr>
          <a:noFill/>
          <a:ln w="9525" cap="flat" cmpd="sng" algn="ctr">
            <a:solidFill>
              <a:sysClr val="windowText" lastClr="000000">
                <a:tint val="75000"/>
                <a:shade val="95000"/>
                <a:satMod val="105000"/>
              </a:sysClr>
            </a:solidFill>
            <a:prstDash val="solid"/>
            <a:round/>
          </a:ln>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972182432"/>
        <c:crosses val="autoZero"/>
        <c:crossBetween val="between"/>
        <c:majorUnit val="0.2"/>
      </c:valAx>
      <c:spPr>
        <a:solidFill>
          <a:sysClr val="window" lastClr="FFFFFF"/>
        </a:solidFill>
        <a:ln>
          <a:noFill/>
        </a:ln>
      </c:spPr>
    </c:plotArea>
    <c:plotVisOnly val="1"/>
    <c:dispBlanksAs val="gap"/>
    <c:showDLblsOverMax val="0"/>
  </c:chart>
  <c:spPr>
    <a:solidFill>
      <a:sysClr val="window" lastClr="FFFFFF"/>
    </a:solidFill>
    <a:ln w="9525" cap="flat" cmpd="sng" algn="ctr">
      <a:noFill/>
      <a:prstDash val="solid"/>
      <a:round/>
    </a:ln>
  </c:spPr>
  <c:txPr>
    <a:bodyPr/>
    <a:lstStyle/>
    <a:p>
      <a:pPr>
        <a:defRPr lang="zh-CN"/>
      </a:pP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9581809359747"/>
          <c:y val="0.00995762367585272"/>
          <c:w val="0.555818942992757"/>
          <c:h val="0.898083405705908"/>
        </c:manualLayout>
      </c:layout>
      <c:barChart>
        <c:barDir val="bar"/>
        <c:grouping val="clustered"/>
        <c:varyColors val="0"/>
        <c:ser>
          <c:idx val="0"/>
          <c:order val="0"/>
          <c:tx>
            <c:strRef>
              <c:f>Sheet1!$B$1</c:f>
              <c:strCache>
                <c:ptCount val="1"/>
                <c:pt idx="0">
                  <c:v>正式参加工作以来（实习不计），我离职的次数</c:v>
                </c:pt>
              </c:strCache>
            </c:strRef>
          </c:tx>
          <c:spPr>
            <a:solidFill>
              <a:srgbClr val="0F6FC6"/>
            </a:solidFill>
            <a:ln>
              <a:noFill/>
            </a:ln>
            <a:effectLst/>
          </c:spPr>
          <c:invertIfNegative val="0"/>
          <c:dPt>
            <c:idx val="0"/>
            <c:invertIfNegative val="0"/>
            <c:bubble3D val="0"/>
            <c:spPr>
              <a:solidFill>
                <a:srgbClr val="0F6FC6"/>
              </a:solidFill>
              <a:ln>
                <a:noFill/>
              </a:ln>
              <a:effectLst/>
            </c:spPr>
          </c:dPt>
          <c:dPt>
            <c:idx val="1"/>
            <c:invertIfNegative val="0"/>
            <c:bubble3D val="0"/>
            <c:spPr>
              <a:solidFill>
                <a:srgbClr val="0F6FC6"/>
              </a:solidFill>
              <a:ln>
                <a:noFill/>
              </a:ln>
              <a:effectLst/>
            </c:spPr>
          </c:dPt>
          <c:dPt>
            <c:idx val="2"/>
            <c:invertIfNegative val="0"/>
            <c:bubble3D val="0"/>
            <c:spPr>
              <a:solidFill>
                <a:srgbClr val="0F6FC6"/>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ysClr val="windowText" lastClr="000000">
                          <a:shade val="95000"/>
                          <a:satMod val="105000"/>
                        </a:sysClr>
                      </a:solidFill>
                      <a:prstDash val="solid"/>
                      <a:round/>
                    </a:ln>
                    <a:effectLst/>
                  </c:spPr>
                </c15:leaderLines>
              </c:ext>
            </c:extLst>
          </c:dLbls>
          <c:cat>
            <c:strRef>
              <c:f>Sheet1!$A$2:$A$11</c:f>
              <c:strCache>
                <c:ptCount val="10"/>
                <c:pt idx="0">
                  <c:v>*商业服务类</c:v>
                </c:pt>
                <c:pt idx="1">
                  <c:v>*标准化/质量/安全/检验类</c:v>
                </c:pt>
                <c:pt idx="2">
                  <c:v>*贸易/物流类</c:v>
                </c:pt>
                <c:pt idx="3">
                  <c:v>医疗卫生类</c:v>
                </c:pt>
                <c:pt idx="4">
                  <c:v>计算机/互联网类</c:v>
                </c:pt>
                <c:pt idx="5">
                  <c:v>教育/培训/科研类</c:v>
                </c:pt>
                <c:pt idx="6">
                  <c:v>建筑建材类</c:v>
                </c:pt>
                <c:pt idx="7">
                  <c:v>化工/冶金/机械类</c:v>
                </c:pt>
                <c:pt idx="8">
                  <c:v>人力/行政/营销类</c:v>
                </c:pt>
                <c:pt idx="9">
                  <c:v>电气/电力/电子/通信类</c:v>
                </c:pt>
              </c:strCache>
            </c:strRef>
          </c:cat>
          <c:val>
            <c:numRef>
              <c:f>Sheet1!$B$2:$B$11</c:f>
              <c:numCache>
                <c:formatCode>0.00%</c:formatCode>
                <c:ptCount val="10"/>
                <c:pt idx="0">
                  <c:v>0.3333</c:v>
                </c:pt>
                <c:pt idx="1">
                  <c:v>0.75</c:v>
                </c:pt>
                <c:pt idx="2">
                  <c:v>1</c:v>
                </c:pt>
                <c:pt idx="3">
                  <c:v>0.1</c:v>
                </c:pt>
                <c:pt idx="4">
                  <c:v>0.1667</c:v>
                </c:pt>
                <c:pt idx="5">
                  <c:v>0.1818</c:v>
                </c:pt>
                <c:pt idx="6">
                  <c:v>0.2</c:v>
                </c:pt>
                <c:pt idx="7">
                  <c:v>0.2222</c:v>
                </c:pt>
                <c:pt idx="8">
                  <c:v>0.3333</c:v>
                </c:pt>
                <c:pt idx="9">
                  <c:v>0.4444</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972182824"/>
        <c:crosses val="autoZero"/>
        <c:auto val="1"/>
        <c:lblAlgn val="ctr"/>
        <c:lblOffset val="100"/>
        <c:noMultiLvlLbl val="0"/>
      </c:catAx>
      <c:valAx>
        <c:axId val="972182824"/>
        <c:scaling>
          <c:orientation val="minMax"/>
          <c:max val="1"/>
          <c:min val="0"/>
        </c:scaling>
        <c:delete val="0"/>
        <c:axPos val="b"/>
        <c:numFmt formatCode="0.00%" sourceLinked="1"/>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972182432"/>
        <c:crosses val="autoZero"/>
        <c:crossBetween val="between"/>
        <c:majorUnit val="0.2"/>
      </c:valAx>
      <c:spPr>
        <a:solidFill>
          <a:sysClr val="window" lastClr="FFFFFF"/>
        </a:solidFill>
        <a:ln>
          <a:noFill/>
        </a:ln>
        <a:effectLst/>
      </c:spPr>
    </c:plotArea>
    <c:plotVisOnly val="1"/>
    <c:dispBlanksAs val="gap"/>
    <c:showDLblsOverMax val="0"/>
  </c:chart>
  <c:spPr>
    <a:solidFill>
      <a:sysClr val="window" lastClr="FFFFFF"/>
    </a:solidFill>
    <a:ln w="9525" cap="flat" cmpd="sng" algn="ctr">
      <a:noFill/>
      <a:prstDash val="solid"/>
      <a:round/>
    </a:ln>
    <a:effectLst/>
  </c:spPr>
  <c:txPr>
    <a:bodyPr/>
    <a:lstStyle/>
    <a:p>
      <a:pPr>
        <a:defRPr lang="zh-CN"/>
      </a:pP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2243015512162"/>
          <c:y val="0.0249796553208627"/>
          <c:w val="0.428388009816173"/>
          <c:h val="0.889434052878119"/>
        </c:manualLayout>
      </c:layout>
      <c:barChart>
        <c:barDir val="bar"/>
        <c:grouping val="clustered"/>
        <c:varyColors val="0"/>
        <c:ser>
          <c:idx val="0"/>
          <c:order val="0"/>
          <c:tx>
            <c:strRef>
              <c:f>Sheet1!$B$1</c:f>
              <c:strCache>
                <c:ptCount val="1"/>
                <c:pt idx="0">
                  <c:v>占比</c:v>
                </c:pt>
              </c:strCache>
            </c:strRef>
          </c:tx>
          <c:spPr>
            <a:solidFill>
              <a:srgbClr val="0F6FC6"/>
            </a:solidFill>
            <a:ln>
              <a:noFill/>
            </a:ln>
            <a:effectLst/>
          </c:spPr>
          <c:invertIfNegative val="0"/>
          <c:dPt>
            <c:idx val="0"/>
            <c:invertIfNegative val="0"/>
            <c:bubble3D val="0"/>
            <c:spPr>
              <a:solidFill>
                <a:srgbClr val="0F6FC6"/>
              </a:solidFill>
              <a:ln>
                <a:noFill/>
              </a:ln>
              <a:effectLst/>
            </c:spPr>
          </c:dPt>
          <c:dPt>
            <c:idx val="1"/>
            <c:invertIfNegative val="0"/>
            <c:bubble3D val="0"/>
            <c:spPr>
              <a:solidFill>
                <a:srgbClr val="0F6FC6"/>
              </a:solidFill>
              <a:ln>
                <a:noFill/>
              </a:ln>
              <a:effectLst/>
            </c:spPr>
          </c:dPt>
          <c:dPt>
            <c:idx val="2"/>
            <c:invertIfNegative val="0"/>
            <c:bubble3D val="0"/>
            <c:spPr>
              <a:solidFill>
                <a:srgbClr val="0F6FC6"/>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ysClr val="windowText" lastClr="000000">
                          <a:shade val="95000"/>
                          <a:satMod val="105000"/>
                        </a:sysClr>
                      </a:solidFill>
                      <a:prstDash val="solid"/>
                      <a:round/>
                    </a:ln>
                    <a:effectLst/>
                  </c:spPr>
                </c15:leaderLines>
              </c:ext>
            </c:extLst>
          </c:dLbls>
          <c:cat>
            <c:strRef>
              <c:f>Sheet1!$A$2:$A$12</c:f>
              <c:strCache>
                <c:ptCount val="11"/>
                <c:pt idx="0">
                  <c:v>城镇社区</c:v>
                </c:pt>
                <c:pt idx="1">
                  <c:v>部队</c:v>
                </c:pt>
                <c:pt idx="2">
                  <c:v>三资企业（中外合资经营企业、中外合作经营企业、外商独资经营企业）</c:v>
                </c:pt>
                <c:pt idx="3">
                  <c:v>科研设计单位</c:v>
                </c:pt>
                <c:pt idx="4">
                  <c:v>党政机关</c:v>
                </c:pt>
                <c:pt idx="5">
                  <c:v>其他事业单位</c:v>
                </c:pt>
                <c:pt idx="6">
                  <c:v>其他</c:v>
                </c:pt>
                <c:pt idx="7">
                  <c:v>医疗卫生单位</c:v>
                </c:pt>
                <c:pt idx="8">
                  <c:v>高等教育单位</c:v>
                </c:pt>
                <c:pt idx="9">
                  <c:v>国有企业</c:v>
                </c:pt>
                <c:pt idx="10">
                  <c:v>民营企业/个体</c:v>
                </c:pt>
              </c:strCache>
            </c:strRef>
          </c:cat>
          <c:val>
            <c:numRef>
              <c:f>Sheet1!$B$2:$B$12</c:f>
              <c:numCache>
                <c:formatCode>0.00%</c:formatCode>
                <c:ptCount val="11"/>
                <c:pt idx="0">
                  <c:v>0.0094</c:v>
                </c:pt>
                <c:pt idx="1">
                  <c:v>0.0094</c:v>
                </c:pt>
                <c:pt idx="2">
                  <c:v>0.0094</c:v>
                </c:pt>
                <c:pt idx="3">
                  <c:v>0.0094</c:v>
                </c:pt>
                <c:pt idx="4">
                  <c:v>0.0472</c:v>
                </c:pt>
                <c:pt idx="5">
                  <c:v>0.0472</c:v>
                </c:pt>
                <c:pt idx="6">
                  <c:v>0.066</c:v>
                </c:pt>
                <c:pt idx="7">
                  <c:v>0.0849</c:v>
                </c:pt>
                <c:pt idx="8">
                  <c:v>0.1038</c:v>
                </c:pt>
                <c:pt idx="9">
                  <c:v>0.1604</c:v>
                </c:pt>
                <c:pt idx="10">
                  <c:v>0.4528</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972182824"/>
        <c:crosses val="autoZero"/>
        <c:auto val="1"/>
        <c:lblAlgn val="ctr"/>
        <c:lblOffset val="100"/>
        <c:noMultiLvlLbl val="0"/>
      </c:catAx>
      <c:valAx>
        <c:axId val="972182824"/>
        <c:scaling>
          <c:orientation val="minMax"/>
          <c:max val="0.5"/>
          <c:min val="0"/>
        </c:scaling>
        <c:delete val="0"/>
        <c:axPos val="b"/>
        <c:numFmt formatCode="0.00%" sourceLinked="1"/>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972182432"/>
        <c:crosses val="autoZero"/>
        <c:crossBetween val="between"/>
        <c:majorUnit val="0.1"/>
      </c:valAx>
      <c:spPr>
        <a:solidFill>
          <a:sysClr val="window" lastClr="FFFFFF"/>
        </a:solidFill>
        <a:ln>
          <a:noFill/>
        </a:ln>
        <a:effectLst/>
      </c:spPr>
    </c:plotArea>
    <c:plotVisOnly val="1"/>
    <c:dispBlanksAs val="gap"/>
    <c:showDLblsOverMax val="0"/>
  </c:chart>
  <c:spPr>
    <a:solidFill>
      <a:sysClr val="window" lastClr="FFFFFF"/>
    </a:solidFill>
    <a:ln w="9525" cap="flat" cmpd="sng" algn="ctr">
      <a:noFill/>
      <a:prstDash val="solid"/>
      <a:round/>
    </a:ln>
    <a:effectLst/>
  </c:spPr>
  <c:txPr>
    <a:bodyPr/>
    <a:lstStyle/>
    <a:p>
      <a:pPr>
        <a:defRPr lang="zh-CN"/>
      </a:pP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1627906976744"/>
          <c:y val="0.060937286092183"/>
          <c:w val="0.508010132454373"/>
          <c:h val="0.825657840004307"/>
        </c:manualLayout>
      </c:layout>
      <c:barChart>
        <c:barDir val="bar"/>
        <c:grouping val="clustered"/>
        <c:varyColors val="0"/>
        <c:ser>
          <c:idx val="0"/>
          <c:order val="0"/>
          <c:tx>
            <c:strRef>
              <c:f>Sheet1!$B$1</c:f>
              <c:strCache>
                <c:ptCount val="1"/>
                <c:pt idx="0">
                  <c:v>我工作的平均月收入（税前），大致____元/月（月收入包括工资、能折算为现金的福利等）</c:v>
                </c:pt>
              </c:strCache>
            </c:strRef>
          </c:tx>
          <c:spPr>
            <a:solidFill>
              <a:srgbClr val="0F6FC6"/>
            </a:solidFill>
            <a:ln>
              <a:noFill/>
            </a:ln>
            <a:effectLst/>
          </c:spPr>
          <c:invertIfNegative val="0"/>
          <c:dPt>
            <c:idx val="0"/>
            <c:invertIfNegative val="0"/>
            <c:bubble3D val="0"/>
            <c:spPr>
              <a:solidFill>
                <a:srgbClr val="0F6FC6"/>
              </a:solidFill>
              <a:ln>
                <a:noFill/>
              </a:ln>
              <a:effectLst/>
            </c:spPr>
          </c:dPt>
          <c:dPt>
            <c:idx val="1"/>
            <c:invertIfNegative val="0"/>
            <c:bubble3D val="0"/>
            <c:spPr>
              <a:solidFill>
                <a:srgbClr val="0F6FC6"/>
              </a:solidFill>
              <a:ln>
                <a:noFill/>
              </a:ln>
              <a:effectLst/>
            </c:spPr>
          </c:dPt>
          <c:dPt>
            <c:idx val="2"/>
            <c:invertIfNegative val="0"/>
            <c:bubble3D val="0"/>
            <c:spPr>
              <a:solidFill>
                <a:srgbClr val="0F6FC6"/>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ysClr val="windowText" lastClr="000000">
                          <a:shade val="95000"/>
                          <a:satMod val="105000"/>
                        </a:sysClr>
                      </a:solidFill>
                      <a:prstDash val="solid"/>
                      <a:round/>
                    </a:ln>
                    <a:effectLst/>
                  </c:spPr>
                </c15:leaderLines>
              </c:ext>
            </c:extLst>
          </c:dLbls>
          <c:cat>
            <c:strRef>
              <c:f>Sheet1!$A$2:$A$7</c:f>
              <c:strCache>
                <c:ptCount val="6"/>
                <c:pt idx="0">
                  <c:v>*党政机关</c:v>
                </c:pt>
                <c:pt idx="1">
                  <c:v>*其他事业单位</c:v>
                </c:pt>
                <c:pt idx="2">
                  <c:v>其他</c:v>
                </c:pt>
                <c:pt idx="3">
                  <c:v>国有企业</c:v>
                </c:pt>
                <c:pt idx="4">
                  <c:v>民营企业/个体</c:v>
                </c:pt>
                <c:pt idx="5">
                  <c:v>医疗卫生单位</c:v>
                </c:pt>
              </c:strCache>
            </c:strRef>
          </c:cat>
          <c:val>
            <c:numRef>
              <c:f>Sheet1!$B$2:$B$7</c:f>
              <c:numCache>
                <c:formatCode>0.00_);[Red]\(0.00\)</c:formatCode>
                <c:ptCount val="6"/>
                <c:pt idx="0">
                  <c:v>4200</c:v>
                </c:pt>
                <c:pt idx="1">
                  <c:v>7500</c:v>
                </c:pt>
                <c:pt idx="2">
                  <c:v>3200</c:v>
                </c:pt>
                <c:pt idx="3">
                  <c:v>4673</c:v>
                </c:pt>
                <c:pt idx="4">
                  <c:v>5265</c:v>
                </c:pt>
                <c:pt idx="5">
                  <c:v>5357</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972182824"/>
        <c:crosses val="autoZero"/>
        <c:auto val="1"/>
        <c:lblAlgn val="ctr"/>
        <c:lblOffset val="100"/>
        <c:noMultiLvlLbl val="0"/>
      </c:catAx>
      <c:valAx>
        <c:axId val="972182824"/>
        <c:scaling>
          <c:orientation val="minMax"/>
          <c:max val="8000"/>
          <c:min val="0"/>
        </c:scaling>
        <c:delete val="0"/>
        <c:axPos val="b"/>
        <c:numFmt formatCode="0.00_);[Red]\(0.00\)" sourceLinked="1"/>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972182432"/>
        <c:crosses val="autoZero"/>
        <c:crossBetween val="between"/>
        <c:majorUnit val="2000"/>
      </c:valAx>
      <c:spPr>
        <a:solidFill>
          <a:sysClr val="window" lastClr="FFFFFF"/>
        </a:solidFill>
        <a:ln>
          <a:noFill/>
        </a:ln>
        <a:effectLst/>
      </c:spPr>
    </c:plotArea>
    <c:plotVisOnly val="1"/>
    <c:dispBlanksAs val="gap"/>
    <c:showDLblsOverMax val="0"/>
  </c:chart>
  <c:spPr>
    <a:solidFill>
      <a:sysClr val="window" lastClr="FFFFFF"/>
    </a:solidFill>
    <a:ln w="9525" cap="flat" cmpd="sng" algn="ctr">
      <a:no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dk1">
                  <a:lumMod val="75000"/>
                  <a:lumOff val="25000"/>
                </a:schemeClr>
              </a:solidFill>
              <a:latin typeface="+mn-lt"/>
              <a:ea typeface="+mn-ea"/>
              <a:cs typeface="+mn-cs"/>
            </a:defRPr>
          </a:pPr>
        </a:p>
      </c:txPr>
    </c:title>
    <c:autoTitleDeleted val="0"/>
    <c:plotArea>
      <c:layout/>
      <c:doughnutChart>
        <c:varyColors val="1"/>
        <c:ser>
          <c:idx val="0"/>
          <c:order val="0"/>
          <c:tx>
            <c:strRef>
              <c:f>Sheet1!$B$1</c:f>
              <c:strCache>
                <c:ptCount val="1"/>
                <c:pt idx="0">
                  <c:v>毕业去向落实率</c:v>
                </c:pt>
              </c:strCache>
            </c:strRef>
          </c:tx>
          <c:spPr/>
          <c:explosion val="0"/>
          <c:dPt>
            <c:idx val="0"/>
            <c:bubble3D val="0"/>
            <c:spPr>
              <a:solidFill>
                <a:schemeClr val="tx2">
                  <a:lumMod val="60000"/>
                  <a:lumOff val="40000"/>
                </a:schemeClr>
              </a:solidFill>
              <a:ln>
                <a:noFill/>
              </a:ln>
              <a:effectLst/>
            </c:spPr>
          </c:dPt>
          <c:dPt>
            <c:idx val="1"/>
            <c:bubble3D val="0"/>
            <c:spPr>
              <a:solidFill>
                <a:schemeClr val="tx2">
                  <a:lumMod val="20000"/>
                  <a:lumOff val="80000"/>
                </a:schemeClr>
              </a:solidFill>
              <a:ln>
                <a:noFill/>
              </a:ln>
              <a:effectLst/>
            </c:spPr>
          </c:dPt>
          <c:dLbls>
            <c:dLbl>
              <c:idx val="0"/>
              <c:layout>
                <c:manualLayout>
                  <c:x val="0.26733510509785"/>
                  <c:y val="-0.0798980025499362"/>
                </c:manualLayout>
              </c:layout>
              <c:showLegendKey val="0"/>
              <c:showVal val="0"/>
              <c:showCatName val="1"/>
              <c:showSerName val="0"/>
              <c:showPercent val="1"/>
              <c:showBubbleSize val="0"/>
              <c:separator>
</c:separator>
              <c:extLst>
                <c:ext xmlns:c15="http://schemas.microsoft.com/office/drawing/2012/chart" uri="{CE6537A1-D6FC-4f65-9D91-7224C49458BB}">
                  <c15:layout>
                    <c:manualLayout>
                      <c:w val="0.112708383667553"/>
                      <c:h val="0.126646833829154"/>
                    </c:manualLayout>
                  </c15:layout>
                </c:ext>
              </c:extLst>
            </c:dLbl>
            <c:dLbl>
              <c:idx val="1"/>
              <c:layout>
                <c:manualLayout>
                  <c:x val="-0.0860111137956028"/>
                  <c:y val="-0.0915852103697408"/>
                </c:manualLayout>
              </c:layout>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1" i="0" u="none" strike="noStrike" kern="1200" baseline="0">
                    <a:solidFill>
                      <a:schemeClr val="tx1">
                        <a:lumMod val="75000"/>
                        <a:lumOff val="25000"/>
                      </a:schemeClr>
                    </a:solidFill>
                    <a:latin typeface="+mn-lt"/>
                    <a:ea typeface="+mn-ea"/>
                    <a:cs typeface="+mn-cs"/>
                  </a:defRPr>
                </a:pPr>
              </a:p>
            </c:txPr>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就业</c:v>
                </c:pt>
                <c:pt idx="1">
                  <c:v>待就业</c:v>
                </c:pt>
              </c:strCache>
            </c:strRef>
          </c:cat>
          <c:val>
            <c:numRef>
              <c:f>Sheet1!$B$2:$B$3</c:f>
              <c:numCache>
                <c:formatCode>0.00%</c:formatCode>
                <c:ptCount val="2"/>
                <c:pt idx="0">
                  <c:v>0.9502</c:v>
                </c:pt>
                <c:pt idx="1">
                  <c:v>0.0498</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b"/>
      <c:legendEntry>
        <c:idx val="0"/>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egendEntry>
        <c:idx val="1"/>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b="1"/>
      </a:pPr>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1376064705818"/>
          <c:y val="0.0497202361763108"/>
          <c:w val="0.610915420337737"/>
          <c:h val="0.825657840004307"/>
        </c:manualLayout>
      </c:layout>
      <c:barChart>
        <c:barDir val="bar"/>
        <c:grouping val="clustered"/>
        <c:varyColors val="0"/>
        <c:ser>
          <c:idx val="0"/>
          <c:order val="0"/>
          <c:tx>
            <c:strRef>
              <c:f>Sheet1!$B$1</c:f>
              <c:strCache>
                <c:ptCount val="1"/>
                <c:pt idx="0">
                  <c:v>工作总体</c:v>
                </c:pt>
              </c:strCache>
            </c:strRef>
          </c:tx>
          <c:spPr>
            <a:solidFill>
              <a:srgbClr val="0F6FC6"/>
            </a:solidFill>
            <a:ln>
              <a:noFill/>
            </a:ln>
            <a:effectLst/>
          </c:spPr>
          <c:invertIfNegative val="0"/>
          <c:dPt>
            <c:idx val="0"/>
            <c:invertIfNegative val="0"/>
            <c:bubble3D val="0"/>
            <c:spPr>
              <a:solidFill>
                <a:srgbClr val="0F6FC6"/>
              </a:solidFill>
              <a:ln>
                <a:noFill/>
              </a:ln>
              <a:effectLst/>
            </c:spPr>
          </c:dPt>
          <c:dPt>
            <c:idx val="1"/>
            <c:invertIfNegative val="0"/>
            <c:bubble3D val="0"/>
            <c:spPr>
              <a:solidFill>
                <a:srgbClr val="0F6FC6"/>
              </a:solidFill>
              <a:ln>
                <a:noFill/>
              </a:ln>
              <a:effectLst/>
            </c:spPr>
          </c:dPt>
          <c:dPt>
            <c:idx val="2"/>
            <c:invertIfNegative val="0"/>
            <c:bubble3D val="0"/>
            <c:spPr>
              <a:solidFill>
                <a:srgbClr val="0F6FC6"/>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ysClr val="windowText" lastClr="000000">
                          <a:shade val="95000"/>
                          <a:satMod val="105000"/>
                        </a:sysClr>
                      </a:solidFill>
                      <a:prstDash val="solid"/>
                      <a:round/>
                    </a:ln>
                    <a:effectLst/>
                  </c:spPr>
                </c15:leaderLines>
              </c:ext>
            </c:extLst>
          </c:dLbls>
          <c:cat>
            <c:strRef>
              <c:f>Sheet1!$A$2:$A$7</c:f>
              <c:strCache>
                <c:ptCount val="6"/>
                <c:pt idx="0">
                  <c:v>*其他事业单位</c:v>
                </c:pt>
                <c:pt idx="1">
                  <c:v>*党政机关</c:v>
                </c:pt>
                <c:pt idx="2">
                  <c:v>国有企业</c:v>
                </c:pt>
                <c:pt idx="3">
                  <c:v>民营企业/个体</c:v>
                </c:pt>
                <c:pt idx="4">
                  <c:v>医疗卫生单位</c:v>
                </c:pt>
                <c:pt idx="5">
                  <c:v>其他</c:v>
                </c:pt>
              </c:strCache>
            </c:strRef>
          </c:cat>
          <c:val>
            <c:numRef>
              <c:f>Sheet1!$B$2:$B$7</c:f>
              <c:numCache>
                <c:formatCode>0.00%</c:formatCode>
                <c:ptCount val="6"/>
                <c:pt idx="0">
                  <c:v>1</c:v>
                </c:pt>
                <c:pt idx="1">
                  <c:v>1</c:v>
                </c:pt>
                <c:pt idx="2">
                  <c:v>0.9333</c:v>
                </c:pt>
                <c:pt idx="3">
                  <c:v>0.9778</c:v>
                </c:pt>
                <c:pt idx="4">
                  <c:v>1</c:v>
                </c:pt>
                <c:pt idx="5">
                  <c:v>1</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972182824"/>
        <c:crosses val="autoZero"/>
        <c:auto val="1"/>
        <c:lblAlgn val="ctr"/>
        <c:lblOffset val="100"/>
        <c:noMultiLvlLbl val="0"/>
      </c:catAx>
      <c:valAx>
        <c:axId val="972182824"/>
        <c:scaling>
          <c:orientation val="minMax"/>
          <c:max val="1"/>
          <c:min val="0"/>
        </c:scaling>
        <c:delete val="0"/>
        <c:axPos val="b"/>
        <c:numFmt formatCode="0.00%" sourceLinked="1"/>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972182432"/>
        <c:crosses val="autoZero"/>
        <c:crossBetween val="between"/>
        <c:majorUnit val="0.2"/>
      </c:valAx>
      <c:spPr>
        <a:solidFill>
          <a:sysClr val="window" lastClr="FFFFFF"/>
        </a:solidFill>
        <a:ln>
          <a:noFill/>
        </a:ln>
        <a:effectLst/>
      </c:spPr>
    </c:plotArea>
    <c:plotVisOnly val="1"/>
    <c:dispBlanksAs val="gap"/>
    <c:showDLblsOverMax val="0"/>
  </c:chart>
  <c:spPr>
    <a:solidFill>
      <a:sysClr val="window" lastClr="FFFFFF"/>
    </a:solidFill>
    <a:ln w="9525" cap="flat" cmpd="sng" algn="ctr">
      <a:noFill/>
      <a:prstDash val="solid"/>
      <a:round/>
    </a:ln>
    <a:effectLst/>
  </c:spPr>
  <c:txPr>
    <a:bodyPr/>
    <a:lstStyle/>
    <a:p>
      <a:pPr>
        <a:defRPr lang="zh-CN"/>
      </a:pPr>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9090856557014"/>
          <c:y val="0.0497202361763108"/>
          <c:w val="0.593200628486541"/>
          <c:h val="0.825657840004307"/>
        </c:manualLayout>
      </c:layout>
      <c:barChart>
        <c:barDir val="bar"/>
        <c:grouping val="clustered"/>
        <c:varyColors val="0"/>
        <c:ser>
          <c:idx val="0"/>
          <c:order val="0"/>
          <c:tx>
            <c:strRef>
              <c:f>Sheet1!$B$1</c:f>
              <c:strCache>
                <c:ptCount val="1"/>
                <c:pt idx="0">
                  <c:v>离职率</c:v>
                </c:pt>
              </c:strCache>
            </c:strRef>
          </c:tx>
          <c:spPr>
            <a:solidFill>
              <a:srgbClr val="0F6FC6"/>
            </a:solidFill>
            <a:ln>
              <a:noFill/>
            </a:ln>
            <a:effectLst/>
          </c:spPr>
          <c:invertIfNegative val="0"/>
          <c:dPt>
            <c:idx val="0"/>
            <c:invertIfNegative val="0"/>
            <c:bubble3D val="0"/>
            <c:spPr>
              <a:solidFill>
                <a:srgbClr val="0F6FC6"/>
              </a:solidFill>
              <a:ln>
                <a:noFill/>
              </a:ln>
              <a:effectLst/>
            </c:spPr>
          </c:dPt>
          <c:dPt>
            <c:idx val="1"/>
            <c:invertIfNegative val="0"/>
            <c:bubble3D val="0"/>
            <c:spPr>
              <a:solidFill>
                <a:srgbClr val="0F6FC6"/>
              </a:solidFill>
              <a:ln>
                <a:noFill/>
              </a:ln>
              <a:effectLst/>
            </c:spPr>
          </c:dPt>
          <c:dPt>
            <c:idx val="2"/>
            <c:invertIfNegative val="0"/>
            <c:bubble3D val="0"/>
            <c:spPr>
              <a:solidFill>
                <a:srgbClr val="0F6FC6"/>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ysClr val="windowText" lastClr="000000">
                          <a:shade val="95000"/>
                          <a:satMod val="105000"/>
                        </a:sysClr>
                      </a:solidFill>
                      <a:prstDash val="solid"/>
                      <a:round/>
                    </a:ln>
                    <a:effectLst/>
                  </c:spPr>
                </c15:leaderLines>
              </c:ext>
            </c:extLst>
          </c:dLbls>
          <c:cat>
            <c:strRef>
              <c:f>Sheet1!$A$2:$A$7</c:f>
              <c:strCache>
                <c:ptCount val="6"/>
                <c:pt idx="0">
                  <c:v>*党政机关</c:v>
                </c:pt>
                <c:pt idx="1">
                  <c:v>*其他事业单位</c:v>
                </c:pt>
                <c:pt idx="2">
                  <c:v>国有企业</c:v>
                </c:pt>
                <c:pt idx="3">
                  <c:v>医疗卫生单位</c:v>
                </c:pt>
                <c:pt idx="4">
                  <c:v>民营企业/个体</c:v>
                </c:pt>
                <c:pt idx="5">
                  <c:v>其他</c:v>
                </c:pt>
              </c:strCache>
            </c:strRef>
          </c:cat>
          <c:val>
            <c:numRef>
              <c:f>Sheet1!$B$2:$B$7</c:f>
              <c:numCache>
                <c:formatCode>0.00%</c:formatCode>
                <c:ptCount val="6"/>
                <c:pt idx="0">
                  <c:v>0.25</c:v>
                </c:pt>
                <c:pt idx="1">
                  <c:v>0.3333</c:v>
                </c:pt>
                <c:pt idx="2">
                  <c:v>0.125</c:v>
                </c:pt>
                <c:pt idx="3">
                  <c:v>0.1429</c:v>
                </c:pt>
                <c:pt idx="4">
                  <c:v>0.3478</c:v>
                </c:pt>
                <c:pt idx="5">
                  <c:v>0.5</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972182824"/>
        <c:crosses val="autoZero"/>
        <c:auto val="1"/>
        <c:lblAlgn val="ctr"/>
        <c:lblOffset val="100"/>
        <c:noMultiLvlLbl val="0"/>
      </c:catAx>
      <c:valAx>
        <c:axId val="972182824"/>
        <c:scaling>
          <c:orientation val="minMax"/>
          <c:max val="0.5"/>
          <c:min val="0"/>
        </c:scaling>
        <c:delete val="0"/>
        <c:axPos val="b"/>
        <c:numFmt formatCode="0.00%" sourceLinked="1"/>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972182432"/>
        <c:crosses val="autoZero"/>
        <c:crossBetween val="between"/>
        <c:majorUnit val="0.1"/>
      </c:valAx>
      <c:spPr>
        <a:solidFill>
          <a:sysClr val="window" lastClr="FFFFFF"/>
        </a:solidFill>
        <a:ln>
          <a:noFill/>
        </a:ln>
        <a:effectLst/>
      </c:spPr>
    </c:plotArea>
    <c:plotVisOnly val="1"/>
    <c:dispBlanksAs val="gap"/>
    <c:showDLblsOverMax val="0"/>
  </c:chart>
  <c:spPr>
    <a:solidFill>
      <a:sysClr val="window" lastClr="FFFFFF"/>
    </a:solidFill>
    <a:ln w="9525" cap="flat" cmpd="sng" algn="ctr">
      <a:noFill/>
      <a:prstDash val="solid"/>
      <a:round/>
    </a:ln>
    <a:effectLst/>
  </c:spPr>
  <c:txPr>
    <a:bodyPr/>
    <a:lstStyle/>
    <a:p>
      <a:pPr>
        <a:defRPr lang="zh-CN"/>
      </a:pPr>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519146645131"/>
          <c:y val="0.153673415823022"/>
          <c:w val="0.506609596877313"/>
          <c:h val="0.705634795650544"/>
        </c:manualLayout>
      </c:layout>
      <c:pieChart>
        <c:varyColors val="1"/>
        <c:ser>
          <c:idx val="0"/>
          <c:order val="0"/>
          <c:tx>
            <c:strRef>
              <c:f>Sheet1!$B$1</c:f>
              <c:strCache>
                <c:ptCount val="1"/>
                <c:pt idx="0">
                  <c:v>占比</c:v>
                </c:pt>
              </c:strCache>
            </c:strRef>
          </c:tx>
          <c:explosion val="0"/>
          <c:dPt>
            <c:idx val="0"/>
            <c:bubble3D val="0"/>
            <c:spPr>
              <a:solidFill>
                <a:srgbClr val="0F6FC6"/>
              </a:solidFill>
              <a:ln>
                <a:solidFill>
                  <a:sysClr val="window" lastClr="FFFFFF"/>
                </a:solidFill>
              </a:ln>
              <a:effectLst/>
            </c:spPr>
          </c:dPt>
          <c:dPt>
            <c:idx val="1"/>
            <c:bubble3D val="0"/>
            <c:spPr>
              <a:solidFill>
                <a:srgbClr val="1F497D">
                  <a:lumMod val="60000"/>
                  <a:lumOff val="40000"/>
                </a:srgbClr>
              </a:solidFill>
              <a:ln>
                <a:solidFill>
                  <a:sysClr val="window" lastClr="FFFFFF"/>
                </a:solidFill>
              </a:ln>
              <a:effectLst/>
            </c:spPr>
          </c:dPt>
          <c:dPt>
            <c:idx val="2"/>
            <c:bubble3D val="0"/>
            <c:spPr>
              <a:solidFill>
                <a:srgbClr val="1F497D">
                  <a:lumMod val="40000"/>
                  <a:lumOff val="60000"/>
                </a:srgbClr>
              </a:solidFill>
              <a:ln>
                <a:solidFill>
                  <a:sysClr val="window" lastClr="FFFFFF"/>
                </a:solidFill>
              </a:ln>
              <a:effectLst/>
            </c:spPr>
          </c:dPt>
          <c:dPt>
            <c:idx val="3"/>
            <c:bubble3D val="0"/>
            <c:spPr>
              <a:solidFill>
                <a:srgbClr val="4F81BD">
                  <a:lumMod val="40000"/>
                  <a:lumOff val="60000"/>
                </a:srgbClr>
              </a:solidFill>
              <a:ln>
                <a:solidFill>
                  <a:sysClr val="window" lastClr="FFFFFF"/>
                </a:solidFill>
              </a:ln>
              <a:effectLst/>
            </c:spPr>
          </c:dPt>
          <c:dPt>
            <c:idx val="4"/>
            <c:bubble3D val="0"/>
            <c:spPr>
              <a:solidFill>
                <a:srgbClr val="4F81BD">
                  <a:lumMod val="20000"/>
                  <a:lumOff val="80000"/>
                </a:srgbClr>
              </a:solidFill>
              <a:ln>
                <a:solidFill>
                  <a:sysClr val="window" lastClr="FFFFFF"/>
                </a:solidFill>
              </a:ln>
              <a:effectLst/>
            </c:spPr>
          </c:dPt>
          <c:dPt>
            <c:idx val="5"/>
            <c:bubble3D val="0"/>
            <c:spPr>
              <a:solidFill>
                <a:srgbClr val="4F81BD">
                  <a:lumMod val="75000"/>
                </a:srgbClr>
              </a:solidFill>
              <a:ln>
                <a:solidFill>
                  <a:sysClr val="window" lastClr="FFFFFF"/>
                </a:solidFill>
              </a:ln>
              <a:effectLst/>
            </c:spPr>
          </c:dPt>
          <c:dLbls>
            <c:dLbl>
              <c:idx val="0"/>
              <c:layout>
                <c:manualLayout>
                  <c:x val="-0.133850279877606"/>
                  <c:y val="0.0207392004088643"/>
                </c:manualLayout>
              </c:layout>
              <c:tx>
                <c:rich>
                  <a:bodyPr rot="0" spcFirstLastPara="1" vertOverflow="ellipsis" vert="horz" wrap="square" lIns="38100" tIns="19050" rIns="38100" bIns="19050" anchor="ctr" anchorCtr="1">
                    <a:noAutofit/>
                  </a:bodyPr>
                  <a:lstStyle/>
                  <a:p>
                    <a:fld id="{c894adde-6f0b-485e-90ac-3da0c2232127}" type="CATEGORYNAME">
                      <a:t>[CATEGORY NAME]</a:t>
                    </a:fld>
                    <a:r>
                      <a:t>,</a:t>
                    </a:r>
                    <a:fld id="{dd014707-36ee-4c29-b660-df297e15c39c}" type="VALUE">
                      <a:t>[VALUE]</a:t>
                    </a:fld>
                    <a:endParaRPr lang="en-US" altLang="zh-CN" b="0" i="0" u="none" strike="noStrike" baseline="0">
                      <a:latin typeface="Times New Roman" panose="02020603050405020304" charset="0"/>
                      <a:ea typeface="Times New Roman" panose="02020603050405020304" charset="0"/>
                      <a:cs typeface="+mn-ea"/>
                    </a:endParaRPr>
                  </a:p>
                </c:rich>
              </c:tx>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1000" b="0" i="0" u="none" strike="noStrike" kern="1200" baseline="0">
                      <a:solidFill>
                        <a:schemeClr val="tx1"/>
                      </a:solidFill>
                      <a:latin typeface="+mn-lt"/>
                      <a:ea typeface="+mn-ea"/>
                      <a:cs typeface="+mn-cs"/>
                    </a:defRPr>
                  </a:pPr>
                </a:p>
              </c:txPr>
              <c:dLblPos val="bestFit"/>
              <c:showLegendKey val="0"/>
              <c:showVal val="1"/>
              <c:showCatName val="1"/>
              <c:showSerName val="0"/>
              <c:showPercent val="0"/>
              <c:showBubbleSize val="0"/>
              <c:extLst>
                <c:ext xmlns:c15="http://schemas.microsoft.com/office/drawing/2012/chart" uri="{CE6537A1-D6FC-4f65-9D91-7224C49458BB}">
                  <c15:layout>
                    <c:manualLayout>
                      <c:w val="0.210683031087526"/>
                      <c:h val="0.149069554433987"/>
                    </c:manualLayout>
                  </c15:layout>
                </c:ext>
              </c:extLst>
            </c:dLbl>
            <c:dLbl>
              <c:idx val="1"/>
              <c:layout>
                <c:manualLayout>
                  <c:x val="-0.0150112584438329"/>
                  <c:y val="0.0159394301653716"/>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0225168876657493"/>
                  <c:y val="0.0916517234508866"/>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0191153450848682"/>
                  <c:y val="0.0582070312058287"/>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1000" b="0" i="0" u="none" strike="noStrike" kern="1200" baseline="0">
                      <a:solidFill>
                        <a:sysClr val="windowText" lastClr="000000"/>
                      </a:solidFill>
                      <a:latin typeface="+mn-lt"/>
                      <a:ea typeface="+mn-ea"/>
                      <a:cs typeface="+mn-cs"/>
                    </a:defRPr>
                  </a:pPr>
                </a:p>
              </c:txPr>
              <c:dLblPos val="bestFit"/>
              <c:showLegendKey val="0"/>
              <c:showVal val="1"/>
              <c:showCatName val="1"/>
              <c:showSerName val="0"/>
              <c:showPercent val="0"/>
              <c:showBubbleSize val="0"/>
              <c:extLst>
                <c:ext xmlns:c15="http://schemas.microsoft.com/office/drawing/2012/chart" uri="{CE6537A1-D6FC-4f65-9D91-7224C49458BB}">
                  <c15:layout>
                    <c:manualLayout>
                      <c:w val="0.268226131755377"/>
                      <c:h val="0.158643513265964"/>
                    </c:manualLayout>
                  </c15:layout>
                </c:ext>
              </c:extLst>
            </c:dLbl>
            <c:dLbl>
              <c:idx val="4"/>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1"/>
              <c:showSerName val="0"/>
              <c:showPercent val="0"/>
              <c:showBubbleSize val="0"/>
              <c:extLst>
                <c:ext xmlns:c15="http://schemas.microsoft.com/office/drawing/2012/chart" uri="{CE6537A1-D6FC-4f65-9D91-7224C49458BB}"/>
              </c:extLst>
            </c:dLbl>
            <c:dLbl>
              <c:idx val="5"/>
              <c:layout>
                <c:manualLayout>
                  <c:x val="0.00500375281461094"/>
                  <c:y val="-0.00398485754134293"/>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1"/>
            <c:showSerName val="0"/>
            <c:showPercent val="0"/>
            <c:showBubbleSize val="0"/>
            <c:showLeaderLines val="0"/>
            <c:extLst>
              <c:ext xmlns:c15="http://schemas.microsoft.com/office/drawing/2012/chart" uri="{CE6537A1-D6FC-4f65-9D91-7224C49458BB}">
                <c15:layout/>
                <c15:showLeaderLines val="0"/>
                <c15:leaderLines/>
              </c:ext>
            </c:extLst>
          </c:dLbls>
          <c:cat>
            <c:strRef>
              <c:f>Sheet1!$A$2:$A$7</c:f>
              <c:strCache>
                <c:ptCount val="6"/>
                <c:pt idx="0">
                  <c:v>世界及中国500强</c:v>
                </c:pt>
                <c:pt idx="1">
                  <c:v>仅为世界500强</c:v>
                </c:pt>
                <c:pt idx="2">
                  <c:v>仅为中国500强</c:v>
                </c:pt>
                <c:pt idx="3">
                  <c:v>非500强大型企业</c:v>
                </c:pt>
                <c:pt idx="4">
                  <c:v>中型企业</c:v>
                </c:pt>
                <c:pt idx="5">
                  <c:v>小微企业</c:v>
                </c:pt>
              </c:strCache>
            </c:strRef>
          </c:cat>
          <c:val>
            <c:numRef>
              <c:f>Sheet1!$B$2:$B$7</c:f>
              <c:numCache>
                <c:formatCode>0.00%</c:formatCode>
                <c:ptCount val="6"/>
                <c:pt idx="0">
                  <c:v>0.0455</c:v>
                </c:pt>
                <c:pt idx="1">
                  <c:v>0.0152</c:v>
                </c:pt>
                <c:pt idx="2">
                  <c:v>0.1061</c:v>
                </c:pt>
                <c:pt idx="3">
                  <c:v>0.1667</c:v>
                </c:pt>
                <c:pt idx="4">
                  <c:v>0.2576</c:v>
                </c:pt>
                <c:pt idx="5">
                  <c:v>0.4091</c:v>
                </c:pt>
              </c:numCache>
            </c:numRef>
          </c:val>
        </c:ser>
        <c:dLbls>
          <c:showLegendKey val="0"/>
          <c:showVal val="0"/>
          <c:showCatName val="0"/>
          <c:showSerName val="0"/>
          <c:showPercent val="0"/>
          <c:showBubbleSize val="0"/>
          <c:showLeaderLines val="0"/>
        </c:dLbls>
        <c:firstSliceAng val="0"/>
      </c:pieChart>
      <c:spPr>
        <a:noFill/>
        <a:ln>
          <a:noFill/>
        </a:ln>
      </c:spPr>
    </c:plotArea>
    <c:plotVisOnly val="1"/>
    <c:dispBlanksAs val="zero"/>
    <c:showDLblsOverMax val="0"/>
  </c:chart>
  <c:spPr>
    <a:solidFill>
      <a:sysClr val="window" lastClr="FFFFFF"/>
    </a:solidFill>
    <a:ln w="9525" cap="flat" cmpd="sng" algn="ctr">
      <a:noFill/>
      <a:prstDash val="solid"/>
      <a:round/>
    </a:ln>
  </c:spPr>
  <c:txPr>
    <a:bodyPr/>
    <a:lstStyle/>
    <a:p>
      <a:pPr>
        <a:defRPr lang="zh-CN"/>
      </a:pPr>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818383423990785"/>
          <c:y val="0.171543102566725"/>
          <c:w val="0.84408756197142"/>
          <c:h val="0.547806168497712"/>
        </c:manualLayout>
      </c:layout>
      <c:barChart>
        <c:barDir val="col"/>
        <c:grouping val="clustered"/>
        <c:varyColors val="0"/>
        <c:ser>
          <c:idx val="2"/>
          <c:order val="0"/>
          <c:tx>
            <c:strRef>
              <c:f>Sheet1!$B$1</c:f>
              <c:strCache>
                <c:ptCount val="1"/>
                <c:pt idx="0">
                  <c:v>本校2022届本科毕业生</c:v>
                </c:pt>
              </c:strCache>
            </c:strRef>
          </c:tx>
          <c:spPr>
            <a:solidFill>
              <a:srgbClr val="1F497D">
                <a:lumMod val="40000"/>
                <a:lumOff val="60000"/>
              </a:srgb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c:f>
              <c:strCache>
                <c:ptCount val="1"/>
                <c:pt idx="0">
                  <c:v>国内求学</c:v>
                </c:pt>
              </c:strCache>
            </c:strRef>
          </c:cat>
          <c:val>
            <c:numRef>
              <c:f>Sheet1!$B$2</c:f>
              <c:numCache>
                <c:formatCode>0.00%</c:formatCode>
                <c:ptCount val="1"/>
                <c:pt idx="0">
                  <c:v>0.0069</c:v>
                </c:pt>
              </c:numCache>
            </c:numRef>
          </c:val>
        </c:ser>
        <c:ser>
          <c:idx val="3"/>
          <c:order val="1"/>
          <c:tx>
            <c:strRef>
              <c:f>Sheet1!$C$1</c:f>
              <c:strCache>
                <c:ptCount val="1"/>
                <c:pt idx="0">
                  <c:v>全国高校2022届本科毕业生</c:v>
                </c:pt>
              </c:strCache>
            </c:strRef>
          </c:tx>
          <c:spPr>
            <a:solidFill>
              <a:srgbClr val="1F497D">
                <a:lumMod val="60000"/>
                <a:lumOff val="40000"/>
              </a:srgb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c:f>
              <c:strCache>
                <c:ptCount val="1"/>
                <c:pt idx="0">
                  <c:v>国内求学</c:v>
                </c:pt>
              </c:strCache>
            </c:strRef>
          </c:cat>
          <c:val>
            <c:numRef>
              <c:f>Sheet1!$C$2</c:f>
              <c:numCache>
                <c:formatCode>0.00%</c:formatCode>
                <c:ptCount val="1"/>
                <c:pt idx="0">
                  <c:v>0.2173</c:v>
                </c:pt>
              </c:numCache>
            </c:numRef>
          </c:val>
        </c:ser>
        <c:dLbls>
          <c:showLegendKey val="0"/>
          <c:showVal val="1"/>
          <c:showCatName val="0"/>
          <c:showSerName val="0"/>
          <c:showPercent val="0"/>
          <c:showBubbleSize val="0"/>
        </c:dLbls>
        <c:gapWidth val="269"/>
        <c:overlap val="-15"/>
        <c:axId val="608998768"/>
        <c:axId val="608999160"/>
      </c:barChart>
      <c:catAx>
        <c:axId val="608998768"/>
        <c:scaling>
          <c:orientation val="minMax"/>
        </c:scaling>
        <c:delete val="0"/>
        <c:axPos val="b"/>
        <c:numFmt formatCode="General" sourceLinked="1"/>
        <c:majorTickMark val="none"/>
        <c:minorTickMark val="none"/>
        <c:tickLblPos val="nextTo"/>
        <c:spPr>
          <a:noFill/>
          <a:ln w="12700" cap="flat" cmpd="sng" algn="ctr">
            <a:solidFill>
              <a:sysClr val="window" lastClr="FFFFFF">
                <a:lumMod val="50000"/>
              </a:sysClr>
            </a:solidFill>
            <a:prstDash val="solid"/>
            <a:round/>
          </a:ln>
        </c:spPr>
        <c:txPr>
          <a:bodyPr rot="0" spcFirstLastPara="1" vertOverflow="ellipsis" vert="horz" wrap="square" anchor="ctr" anchorCtr="1"/>
          <a:lstStyle/>
          <a:p>
            <a:pPr>
              <a:defRPr lang="zh-CN" sz="900" b="0" i="0" u="none" strike="noStrike" kern="1200" baseline="0">
                <a:solidFill>
                  <a:sysClr val="window" lastClr="FFFFFF"/>
                </a:solidFill>
                <a:latin typeface="+mn-lt"/>
                <a:ea typeface="+mn-ea"/>
                <a:cs typeface="+mn-cs"/>
              </a:defRPr>
            </a:pPr>
          </a:p>
        </c:txPr>
        <c:crossAx val="608999160"/>
        <c:crosses val="autoZero"/>
        <c:auto val="1"/>
        <c:lblAlgn val="ctr"/>
        <c:lblOffset val="100"/>
        <c:noMultiLvlLbl val="0"/>
      </c:catAx>
      <c:valAx>
        <c:axId val="608999160"/>
        <c:scaling>
          <c:orientation val="minMax"/>
          <c:min val="0"/>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608998768"/>
        <c:crosses val="autoZero"/>
        <c:crossBetween val="between"/>
      </c:valAx>
      <c:spPr>
        <a:noFill/>
        <a:ln>
          <a:noFill/>
        </a:ln>
      </c:spPr>
    </c:plotArea>
    <c:legend>
      <c:legendPos val="b"/>
      <c:layout>
        <c:manualLayout>
          <c:xMode val="edge"/>
          <c:yMode val="edge"/>
          <c:x val="0.0789536381021266"/>
          <c:y val="0.757216395381408"/>
          <c:w val="0.839383286044468"/>
          <c:h val="0.226717593136679"/>
        </c:manualLayout>
      </c:layout>
      <c:overlay val="0"/>
      <c:spPr>
        <a:noFill/>
        <a:ln>
          <a:noFill/>
        </a:ln>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gap"/>
    <c:showDLblsOverMax val="0"/>
  </c:chart>
  <c:spPr>
    <a:solidFill>
      <a:sysClr val="window" lastClr="FFFFFF"/>
    </a:solidFill>
    <a:ln w="9525" cap="flat" cmpd="sng" algn="ctr">
      <a:noFill/>
      <a:prstDash val="solid"/>
      <a:round/>
    </a:ln>
  </c:spPr>
  <c:txPr>
    <a:bodyPr/>
    <a:lstStyle/>
    <a:p>
      <a:pPr>
        <a:defRPr lang="zh-CN">
          <a:solidFill>
            <a:sysClr val="windowText" lastClr="000000"/>
          </a:solidFill>
        </a:defRPr>
      </a:pPr>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17884984526188"/>
          <c:y val="0.132285503147058"/>
          <c:w val="0.846575194891683"/>
          <c:h val="0.612404760084601"/>
        </c:manualLayout>
      </c:layout>
      <c:barChart>
        <c:barDir val="col"/>
        <c:grouping val="clustered"/>
        <c:varyColors val="0"/>
        <c:ser>
          <c:idx val="1"/>
          <c:order val="0"/>
          <c:tx>
            <c:strRef>
              <c:f>Sheet1!$B$1</c:f>
              <c:strCache>
                <c:ptCount val="1"/>
                <c:pt idx="0">
                  <c:v>本校2022届本科毕业生</c:v>
                </c:pt>
              </c:strCache>
            </c:strRef>
          </c:tx>
          <c:invertIfNegative val="1"/>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c:f>
              <c:strCache>
                <c:ptCount val="1"/>
                <c:pt idx="0">
                  <c:v>出国/出境留学</c:v>
                </c:pt>
              </c:strCache>
            </c:strRef>
          </c:cat>
          <c:val>
            <c:numRef>
              <c:f>Sheet1!$B$2</c:f>
              <c:numCache>
                <c:formatCode>0.00%</c:formatCode>
                <c:ptCount val="1"/>
                <c:pt idx="0">
                  <c:v>0.0139</c:v>
                </c:pt>
              </c:numCache>
            </c:numRef>
          </c:val>
        </c:ser>
        <c:ser>
          <c:idx val="3"/>
          <c:order val="1"/>
          <c:tx>
            <c:strRef>
              <c:f>Sheet1!$C$1</c:f>
              <c:strCache>
                <c:ptCount val="1"/>
                <c:pt idx="0">
                  <c:v>全国高校2022届本科毕业生</c:v>
                </c:pt>
              </c:strCache>
            </c:strRef>
          </c:tx>
          <c:spPr>
            <a:solidFill>
              <a:srgbClr val="1F497D">
                <a:lumMod val="40000"/>
                <a:lumOff val="60000"/>
              </a:srgb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c:f>
              <c:strCache>
                <c:ptCount val="1"/>
                <c:pt idx="0">
                  <c:v>出国/出境留学</c:v>
                </c:pt>
              </c:strCache>
            </c:strRef>
          </c:cat>
          <c:val>
            <c:numRef>
              <c:f>Sheet1!$C$2</c:f>
              <c:numCache>
                <c:formatCode>0.00%</c:formatCode>
                <c:ptCount val="1"/>
                <c:pt idx="0">
                  <c:v>0.0121</c:v>
                </c:pt>
              </c:numCache>
            </c:numRef>
          </c:val>
        </c:ser>
        <c:dLbls>
          <c:showLegendKey val="0"/>
          <c:showVal val="1"/>
          <c:showCatName val="0"/>
          <c:showSerName val="0"/>
          <c:showPercent val="0"/>
          <c:showBubbleSize val="0"/>
        </c:dLbls>
        <c:gapWidth val="269"/>
        <c:overlap val="-15"/>
        <c:axId val="608998768"/>
        <c:axId val="608999160"/>
      </c:barChart>
      <c:catAx>
        <c:axId val="608998768"/>
        <c:scaling>
          <c:orientation val="minMax"/>
        </c:scaling>
        <c:delete val="0"/>
        <c:axPos val="b"/>
        <c:numFmt formatCode="General" sourceLinked="1"/>
        <c:majorTickMark val="none"/>
        <c:minorTickMark val="none"/>
        <c:tickLblPos val="nextTo"/>
        <c:spPr>
          <a:noFill/>
          <a:ln w="12700" cap="flat" cmpd="sng" algn="ctr">
            <a:solidFill>
              <a:sysClr val="window" lastClr="FFFFFF">
                <a:lumMod val="50000"/>
              </a:sysClr>
            </a:solidFill>
            <a:prstDash val="solid"/>
            <a:round/>
          </a:ln>
        </c:spPr>
        <c:txPr>
          <a:bodyPr rot="0" spcFirstLastPara="1" vertOverflow="ellipsis" vert="horz" wrap="square" anchor="ctr" anchorCtr="1"/>
          <a:lstStyle/>
          <a:p>
            <a:pPr>
              <a:defRPr lang="zh-CN" sz="900" b="0" i="0" u="none" strike="noStrike" kern="1200" baseline="0">
                <a:solidFill>
                  <a:sysClr val="window" lastClr="FFFFFF"/>
                </a:solidFill>
                <a:latin typeface="+mn-lt"/>
                <a:ea typeface="+mn-ea"/>
                <a:cs typeface="+mn-cs"/>
              </a:defRPr>
            </a:pPr>
          </a:p>
        </c:txPr>
        <c:crossAx val="608999160"/>
        <c:crosses val="autoZero"/>
        <c:auto val="1"/>
        <c:lblAlgn val="ctr"/>
        <c:lblOffset val="100"/>
        <c:noMultiLvlLbl val="0"/>
      </c:catAx>
      <c:valAx>
        <c:axId val="608999160"/>
        <c:scaling>
          <c:orientation val="minMax"/>
          <c:min val="0"/>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608998768"/>
        <c:crosses val="autoZero"/>
        <c:crossBetween val="between"/>
      </c:valAx>
      <c:spPr>
        <a:noFill/>
        <a:ln>
          <a:noFill/>
        </a:ln>
      </c:spPr>
    </c:plotArea>
    <c:legend>
      <c:legendPos val="b"/>
      <c:layout>
        <c:manualLayout>
          <c:xMode val="edge"/>
          <c:yMode val="edge"/>
          <c:x val="0.112475222313629"/>
          <c:y val="0.762560394236435"/>
          <c:w val="0.782524721723217"/>
          <c:h val="0.160448936420261"/>
        </c:manualLayout>
      </c:layout>
      <c:overlay val="0"/>
      <c:spPr>
        <a:noFill/>
        <a:ln>
          <a:noFill/>
        </a:ln>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gap"/>
    <c:showDLblsOverMax val="0"/>
  </c:chart>
  <c:spPr>
    <a:solidFill>
      <a:sysClr val="window" lastClr="FFFFFF"/>
    </a:solidFill>
    <a:ln w="9525" cap="flat" cmpd="sng" algn="ctr">
      <a:noFill/>
      <a:prstDash val="solid"/>
      <a:round/>
    </a:ln>
  </c:spPr>
  <c:txPr>
    <a:bodyPr/>
    <a:lstStyle/>
    <a:p>
      <a:pPr>
        <a:defRPr lang="zh-CN">
          <a:solidFill>
            <a:sysClr val="windowText" lastClr="000000"/>
          </a:solidFill>
        </a:defRPr>
      </a:pPr>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818383423990785"/>
          <c:y val="0.171543102566725"/>
          <c:w val="0.84408756197142"/>
          <c:h val="0.508260665178047"/>
        </c:manualLayout>
      </c:layout>
      <c:barChart>
        <c:barDir val="col"/>
        <c:grouping val="clustered"/>
        <c:varyColors val="0"/>
        <c:ser>
          <c:idx val="2"/>
          <c:order val="0"/>
          <c:tx>
            <c:strRef>
              <c:f>Sheet1!$B$1</c:f>
              <c:strCache>
                <c:ptCount val="1"/>
                <c:pt idx="0">
                  <c:v>本校2022届本科毕业生</c:v>
                </c:pt>
              </c:strCache>
            </c:strRef>
          </c:tx>
          <c:spPr>
            <a:solidFill>
              <a:srgbClr val="1F497D">
                <a:lumMod val="60000"/>
                <a:lumOff val="40000"/>
              </a:srgb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c:f>
              <c:strCache>
                <c:ptCount val="1"/>
                <c:pt idx="0">
                  <c:v>自主创业</c:v>
                </c:pt>
              </c:strCache>
            </c:strRef>
          </c:cat>
          <c:val>
            <c:numRef>
              <c:f>Sheet1!$B$2</c:f>
              <c:numCache>
                <c:formatCode>0.00%</c:formatCode>
                <c:ptCount val="1"/>
                <c:pt idx="0">
                  <c:v>0.0278</c:v>
                </c:pt>
              </c:numCache>
            </c:numRef>
          </c:val>
        </c:ser>
        <c:ser>
          <c:idx val="3"/>
          <c:order val="1"/>
          <c:tx>
            <c:strRef>
              <c:f>Sheet1!$C$1</c:f>
              <c:strCache>
                <c:ptCount val="1"/>
                <c:pt idx="0">
                  <c:v>全国高校2022届本科毕业生</c:v>
                </c:pt>
              </c:strCache>
            </c:strRef>
          </c:tx>
          <c:spPr>
            <a:solidFill>
              <a:srgbClr val="4F81BD">
                <a:lumMod val="40000"/>
                <a:lumOff val="60000"/>
              </a:srgb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c:f>
              <c:strCache>
                <c:ptCount val="1"/>
                <c:pt idx="0">
                  <c:v>自主创业</c:v>
                </c:pt>
              </c:strCache>
            </c:strRef>
          </c:cat>
          <c:val>
            <c:numRef>
              <c:f>Sheet1!$C$2</c:f>
              <c:numCache>
                <c:formatCode>0.00%</c:formatCode>
                <c:ptCount val="1"/>
                <c:pt idx="0">
                  <c:v>0.0124</c:v>
                </c:pt>
              </c:numCache>
            </c:numRef>
          </c:val>
        </c:ser>
        <c:dLbls>
          <c:showLegendKey val="0"/>
          <c:showVal val="1"/>
          <c:showCatName val="0"/>
          <c:showSerName val="0"/>
          <c:showPercent val="0"/>
          <c:showBubbleSize val="0"/>
        </c:dLbls>
        <c:gapWidth val="269"/>
        <c:overlap val="-15"/>
        <c:axId val="608998768"/>
        <c:axId val="608999160"/>
      </c:barChart>
      <c:catAx>
        <c:axId val="608998768"/>
        <c:scaling>
          <c:orientation val="minMax"/>
        </c:scaling>
        <c:delete val="0"/>
        <c:axPos val="b"/>
        <c:numFmt formatCode="General" sourceLinked="1"/>
        <c:majorTickMark val="none"/>
        <c:minorTickMark val="none"/>
        <c:tickLblPos val="nextTo"/>
        <c:spPr>
          <a:noFill/>
          <a:ln w="12700" cap="flat" cmpd="sng" algn="ctr">
            <a:solidFill>
              <a:sysClr val="window" lastClr="FFFFFF">
                <a:lumMod val="50000"/>
              </a:sysClr>
            </a:solidFill>
            <a:prstDash val="solid"/>
            <a:round/>
          </a:ln>
        </c:spPr>
        <c:txPr>
          <a:bodyPr rot="0" spcFirstLastPara="1" vertOverflow="ellipsis" vert="horz" wrap="square" anchor="ctr" anchorCtr="1"/>
          <a:lstStyle/>
          <a:p>
            <a:pPr>
              <a:defRPr lang="zh-CN" sz="900" b="0" i="0" u="none" strike="noStrike" kern="1200" baseline="0">
                <a:solidFill>
                  <a:sysClr val="window" lastClr="FFFFFF"/>
                </a:solidFill>
                <a:latin typeface="+mn-lt"/>
                <a:ea typeface="+mn-ea"/>
                <a:cs typeface="+mn-cs"/>
              </a:defRPr>
            </a:pPr>
          </a:p>
        </c:txPr>
        <c:crossAx val="608999160"/>
        <c:crosses val="autoZero"/>
        <c:auto val="1"/>
        <c:lblAlgn val="ctr"/>
        <c:lblOffset val="100"/>
        <c:noMultiLvlLbl val="0"/>
      </c:catAx>
      <c:valAx>
        <c:axId val="608999160"/>
        <c:scaling>
          <c:orientation val="minMax"/>
          <c:min val="0"/>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608998768"/>
        <c:crosses val="autoZero"/>
        <c:crossBetween val="between"/>
      </c:valAx>
      <c:spPr>
        <a:noFill/>
        <a:ln>
          <a:noFill/>
        </a:ln>
      </c:spPr>
    </c:plotArea>
    <c:legend>
      <c:legendPos val="b"/>
      <c:layout>
        <c:manualLayout>
          <c:xMode val="edge"/>
          <c:yMode val="edge"/>
          <c:x val="0.163647902221178"/>
          <c:y val="0.763332158107102"/>
          <c:w val="0.671650521296778"/>
          <c:h val="0.160448936420261"/>
        </c:manualLayout>
      </c:layout>
      <c:overlay val="0"/>
      <c:spPr>
        <a:noFill/>
        <a:ln>
          <a:noFill/>
        </a:ln>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gap"/>
    <c:showDLblsOverMax val="0"/>
  </c:chart>
  <c:spPr>
    <a:solidFill>
      <a:sysClr val="window" lastClr="FFFFFF"/>
    </a:solidFill>
    <a:ln w="9525" cap="flat" cmpd="sng" algn="ctr">
      <a:noFill/>
      <a:prstDash val="solid"/>
      <a:round/>
    </a:ln>
  </c:spPr>
  <c:txPr>
    <a:bodyPr/>
    <a:lstStyle/>
    <a:p>
      <a:pPr>
        <a:defRPr lang="zh-CN">
          <a:solidFill>
            <a:sysClr val="windowText" lastClr="000000"/>
          </a:solidFill>
        </a:defRPr>
      </a:pPr>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818383423990785"/>
          <c:y val="0.153126767303258"/>
          <c:w val="0.84408756197142"/>
          <c:h val="0.581216557184496"/>
        </c:manualLayout>
      </c:layout>
      <c:barChart>
        <c:barDir val="col"/>
        <c:grouping val="clustered"/>
        <c:varyColors val="0"/>
        <c:ser>
          <c:idx val="0"/>
          <c:order val="0"/>
          <c:tx>
            <c:strRef>
              <c:f>Sheet1!$B$1</c:f>
              <c:strCache>
                <c:ptCount val="1"/>
                <c:pt idx="0">
                  <c:v>本校2020届专科毕业生</c:v>
                </c:pt>
              </c:strCache>
            </c:strRef>
          </c:tx>
          <c:spPr>
            <a:solidFill>
              <a:srgbClr val="0F6FC6"/>
            </a:solidFill>
            <a:ln>
              <a:noFill/>
            </a:ln>
            <a:effectLst/>
          </c:spPr>
          <c:invertIfNegative val="1"/>
          <c:dPt>
            <c:idx val="0"/>
            <c:invertIfNegative val="1"/>
            <c:bubble3D val="0"/>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lumMod val="75000"/>
                        <a:lumOff val="25000"/>
                      </a:sys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ysClr val="windowText" lastClr="000000">
                          <a:lumMod val="35000"/>
                          <a:lumOff val="65000"/>
                        </a:sysClr>
                      </a:solidFill>
                      <a:round/>
                    </a:ln>
                    <a:effectLst/>
                  </c:spPr>
                </c15:leaderLines>
              </c:ext>
            </c:extLst>
          </c:dLbls>
          <c:cat>
            <c:numRef>
              <c:f>Sheet1!$A$2</c:f>
              <c:numCache>
                <c:formatCode>General</c:formatCode>
                <c:ptCount val="1"/>
              </c:numCache>
            </c:numRef>
          </c:cat>
          <c:val>
            <c:numRef>
              <c:f>Sheet1!$B$2</c:f>
              <c:numCache>
                <c:formatCode>0.00%</c:formatCode>
                <c:ptCount val="1"/>
                <c:pt idx="0">
                  <c:v>0.9005</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Sheet1!$C$1</c:f>
              <c:strCache>
                <c:ptCount val="1"/>
                <c:pt idx="0">
                  <c:v>本校2021届专科毕业生</c:v>
                </c:pt>
              </c:strCache>
            </c:strRef>
          </c:tx>
          <c:spPr>
            <a:solidFill>
              <a:srgbClr val="009DD9"/>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lumMod val="75000"/>
                        <a:lumOff val="25000"/>
                      </a:sys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ysClr val="windowText" lastClr="000000">
                          <a:lumMod val="35000"/>
                          <a:lumOff val="65000"/>
                        </a:sysClr>
                      </a:solidFill>
                      <a:round/>
                    </a:ln>
                    <a:effectLst/>
                  </c:spPr>
                </c15:leaderLines>
              </c:ext>
            </c:extLst>
          </c:dLbls>
          <c:cat>
            <c:numRef>
              <c:f>Sheet1!$A$2</c:f>
              <c:numCache>
                <c:formatCode>General</c:formatCode>
                <c:ptCount val="1"/>
              </c:numCache>
            </c:numRef>
          </c:cat>
          <c:val>
            <c:numRef>
              <c:f>Sheet1!$C$2</c:f>
              <c:numCache>
                <c:formatCode>0.00%</c:formatCode>
                <c:ptCount val="1"/>
                <c:pt idx="0">
                  <c:v>0.9602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Sheet1!$D$1</c:f>
              <c:strCache>
                <c:ptCount val="1"/>
                <c:pt idx="0">
                  <c:v>本校2022届专科毕业生</c:v>
                </c:pt>
              </c:strCache>
            </c:strRef>
          </c:tx>
          <c:spPr>
            <a:solidFill>
              <a:srgbClr val="4F81BD">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lumMod val="75000"/>
                        <a:lumOff val="25000"/>
                      </a:sys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ysClr val="windowText" lastClr="000000">
                          <a:lumMod val="35000"/>
                          <a:lumOff val="65000"/>
                        </a:sysClr>
                      </a:solidFill>
                      <a:round/>
                    </a:ln>
                    <a:effectLst/>
                  </c:spPr>
                </c15:leaderLines>
              </c:ext>
            </c:extLst>
          </c:dLbls>
          <c:cat>
            <c:numRef>
              <c:f>Sheet1!$A$2</c:f>
              <c:numCache>
                <c:formatCode>General</c:formatCode>
                <c:ptCount val="1"/>
              </c:numCache>
            </c:numRef>
          </c:cat>
          <c:val>
            <c:numRef>
              <c:f>Sheet1!$D$2</c:f>
              <c:numCache>
                <c:formatCode>0.00%</c:formatCode>
                <c:ptCount val="1"/>
                <c:pt idx="0">
                  <c:v>0.9473</c:v>
                </c:pt>
              </c:numCache>
            </c:numRef>
          </c:val>
        </c:ser>
        <c:ser>
          <c:idx val="3"/>
          <c:order val="3"/>
          <c:tx>
            <c:strRef>
              <c:f>Sheet1!$E$1</c:f>
              <c:strCache>
                <c:ptCount val="1"/>
                <c:pt idx="0">
                  <c:v>全国高校2022届专科毕业生</c:v>
                </c:pt>
              </c:strCache>
            </c:strRef>
          </c:tx>
          <c:spPr>
            <a:solidFill>
              <a:srgbClr val="4F81BD">
                <a:lumMod val="20000"/>
                <a:lumOff val="8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lumMod val="75000"/>
                        <a:lumOff val="25000"/>
                      </a:sys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ysClr val="windowText" lastClr="000000">
                          <a:lumMod val="35000"/>
                          <a:lumOff val="65000"/>
                        </a:sysClr>
                      </a:solidFill>
                      <a:round/>
                    </a:ln>
                    <a:effectLst/>
                  </c:spPr>
                </c15:leaderLines>
              </c:ext>
            </c:extLst>
          </c:dLbls>
          <c:cat>
            <c:numRef>
              <c:f>Sheet1!$A$2</c:f>
              <c:numCache>
                <c:formatCode>General</c:formatCode>
                <c:ptCount val="1"/>
              </c:numCache>
            </c:numRef>
          </c:cat>
          <c:val>
            <c:numRef>
              <c:f>Sheet1!$E$2</c:f>
              <c:numCache>
                <c:formatCode>0.00%</c:formatCode>
                <c:ptCount val="1"/>
                <c:pt idx="0">
                  <c:v>0.8619</c:v>
                </c:pt>
              </c:numCache>
            </c:numRef>
          </c:val>
        </c:ser>
        <c:dLbls>
          <c:showLegendKey val="0"/>
          <c:showVal val="1"/>
          <c:showCatName val="0"/>
          <c:showSerName val="0"/>
          <c:showPercent val="0"/>
          <c:showBubbleSize val="0"/>
        </c:dLbls>
        <c:gapWidth val="219"/>
        <c:overlap val="-27"/>
        <c:axId val="608998768"/>
        <c:axId val="608999160"/>
      </c:barChart>
      <c:catAx>
        <c:axId val="608998768"/>
        <c:scaling>
          <c:orientation val="minMax"/>
        </c:scaling>
        <c:delete val="0"/>
        <c:axPos val="b"/>
        <c:numFmt formatCode="General" sourceLinked="1"/>
        <c:majorTickMark val="out"/>
        <c:minorTickMark val="none"/>
        <c:tickLblPos val="nextTo"/>
        <c:spPr>
          <a:noFill/>
          <a:ln w="9525" cap="flat" cmpd="sng" algn="ctr">
            <a:solidFill>
              <a:sysClr val="windowText" lastClr="000000">
                <a:lumMod val="15000"/>
                <a:lumOff val="85000"/>
              </a:sysClr>
            </a:solidFill>
            <a:round/>
          </a:ln>
          <a:effectLst/>
        </c:spPr>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608999160"/>
        <c:crosses val="autoZero"/>
        <c:auto val="1"/>
        <c:lblAlgn val="ctr"/>
        <c:lblOffset val="100"/>
        <c:noMultiLvlLbl val="0"/>
      </c:catAx>
      <c:valAx>
        <c:axId val="608999160"/>
        <c:scaling>
          <c:orientation val="minMax"/>
          <c:max val="1"/>
          <c:min val="0"/>
        </c:scaling>
        <c:delete val="1"/>
        <c:axPos val="l"/>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608998768"/>
        <c:crosses val="autoZero"/>
        <c:crossBetween val="between"/>
        <c:majorUnit val="1000"/>
      </c:valAx>
      <c:spPr>
        <a:noFill/>
        <a:ln>
          <a:noFill/>
        </a:ln>
        <a:effectLst/>
      </c:spPr>
    </c:plotArea>
    <c:legend>
      <c:legendPos val="b"/>
      <c:layout>
        <c:manualLayout>
          <c:xMode val="edge"/>
          <c:yMode val="edge"/>
          <c:x val="0.100124114756302"/>
          <c:y val="0.782457475964676"/>
          <c:w val="0.804397887945503"/>
          <c:h val="0.189918214643059"/>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legend>
    <c:plotVisOnly val="1"/>
    <c:dispBlanksAs val="gap"/>
    <c:showDLblsOverMax val="0"/>
  </c:chart>
  <c:spPr>
    <a:solidFill>
      <a:sysClr val="window" lastClr="FFFFFF"/>
    </a:solidFill>
    <a:ln w="9525" cap="flat" cmpd="sng" algn="ctr">
      <a:noFill/>
      <a:round/>
    </a:ln>
    <a:effectLst/>
  </c:spPr>
  <c:txPr>
    <a:bodyPr/>
    <a:lstStyle/>
    <a:p>
      <a:pPr>
        <a:defRPr lang="zh-CN"/>
      </a:pPr>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8599945949166"/>
          <c:y val="0.0163854801168723"/>
          <c:w val="0.617121973677341"/>
          <c:h val="0.88844648582334"/>
        </c:manualLayout>
      </c:layout>
      <c:barChart>
        <c:barDir val="bar"/>
        <c:grouping val="clustered"/>
        <c:varyColors val="0"/>
        <c:ser>
          <c:idx val="0"/>
          <c:order val="0"/>
          <c:tx>
            <c:strRef>
              <c:f>Sheet1!$B$1</c:f>
              <c:strCache>
                <c:ptCount val="1"/>
                <c:pt idx="0">
                  <c:v>调查毕业去向落实率</c:v>
                </c:pt>
              </c:strCache>
            </c:strRef>
          </c:tx>
          <c:spPr>
            <a:solidFill>
              <a:srgbClr val="0F6FC6"/>
            </a:solidFill>
            <a:ln>
              <a:solidFill>
                <a:srgbClr val="2588A4"/>
              </a:solidFill>
            </a:ln>
            <a:effectLst/>
          </c:spPr>
          <c:invertIfNegative val="0"/>
          <c:dPt>
            <c:idx val="0"/>
            <c:invertIfNegative val="0"/>
            <c:bubble3D val="0"/>
            <c:spPr>
              <a:solidFill>
                <a:srgbClr val="0F6FC6"/>
              </a:solidFill>
              <a:ln>
                <a:solidFill>
                  <a:srgbClr val="2588A4"/>
                </a:solidFill>
              </a:ln>
              <a:effectLst/>
            </c:spPr>
          </c:dPt>
          <c:dPt>
            <c:idx val="1"/>
            <c:invertIfNegative val="0"/>
            <c:bubble3D val="0"/>
            <c:spPr>
              <a:solidFill>
                <a:srgbClr val="0F6FC6"/>
              </a:solidFill>
              <a:ln>
                <a:solidFill>
                  <a:srgbClr val="2588A4"/>
                </a:solidFill>
              </a:ln>
              <a:effectLst/>
            </c:spPr>
          </c:dPt>
          <c:dPt>
            <c:idx val="2"/>
            <c:invertIfNegative val="0"/>
            <c:bubble3D val="0"/>
          </c:dPt>
          <c:dPt>
            <c:idx val="4"/>
            <c:invertIfNegative val="0"/>
            <c:bubble3D val="0"/>
            <c:spPr>
              <a:solidFill>
                <a:srgbClr val="0F6FC6"/>
              </a:solidFill>
              <a:ln>
                <a:solidFill>
                  <a:srgbClr val="2588A4"/>
                </a:solidFill>
              </a:ln>
              <a:effectLst/>
            </c:spPr>
          </c:dPt>
          <c:dPt>
            <c:idx val="5"/>
            <c:invertIfNegative val="0"/>
            <c:bubble3D val="0"/>
            <c:spPr>
              <a:solidFill>
                <a:srgbClr val="0F6FC6"/>
              </a:solidFill>
              <a:ln>
                <a:solidFill>
                  <a:srgbClr val="2588A4"/>
                </a:solidFill>
              </a:ln>
              <a:effectLst/>
            </c:spPr>
          </c:dPt>
          <c:dPt>
            <c:idx val="6"/>
            <c:invertIfNegative val="0"/>
            <c:bubble3D val="0"/>
            <c:spPr>
              <a:solidFill>
                <a:srgbClr val="0F6FC6"/>
              </a:solidFill>
              <a:ln>
                <a:solidFill>
                  <a:srgbClr val="0F6FC6"/>
                </a:solidFill>
              </a:ln>
              <a:effectLst/>
            </c:spPr>
          </c:dPt>
          <c:dPt>
            <c:idx val="11"/>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ysClr val="windowText" lastClr="000000">
                          <a:shade val="95000"/>
                          <a:satMod val="105000"/>
                        </a:sysClr>
                      </a:solidFill>
                      <a:prstDash val="solid"/>
                      <a:round/>
                    </a:ln>
                    <a:effectLst/>
                  </c:spPr>
                </c15:leaderLines>
              </c:ext>
            </c:extLst>
          </c:dLbls>
          <c:cat>
            <c:strRef>
              <c:f>Sheet1!$A$2:$A$13</c:f>
              <c:strCache>
                <c:ptCount val="12"/>
                <c:pt idx="0">
                  <c:v>国际护理学院</c:v>
                </c:pt>
                <c:pt idx="1">
                  <c:v>总体</c:v>
                </c:pt>
                <c:pt idx="2">
                  <c:v>健康科学学院</c:v>
                </c:pt>
                <c:pt idx="3">
                  <c:v>城建学院</c:v>
                </c:pt>
                <c:pt idx="4">
                  <c:v>信息工程学院</c:v>
                </c:pt>
                <c:pt idx="5">
                  <c:v>财经学院</c:v>
                </c:pt>
                <c:pt idx="6">
                  <c:v>机电工程学院</c:v>
                </c:pt>
                <c:pt idx="7">
                  <c:v>海事学院</c:v>
                </c:pt>
                <c:pt idx="8">
                  <c:v>传媒与音乐学院</c:v>
                </c:pt>
                <c:pt idx="9">
                  <c:v>设计学院</c:v>
                </c:pt>
                <c:pt idx="10">
                  <c:v>临床医药学院</c:v>
                </c:pt>
                <c:pt idx="11">
                  <c:v>化学与材料工程学院</c:v>
                </c:pt>
              </c:strCache>
            </c:strRef>
          </c:cat>
          <c:val>
            <c:numRef>
              <c:f>Sheet1!$B$2:$B$13</c:f>
              <c:numCache>
                <c:formatCode>0.00%</c:formatCode>
                <c:ptCount val="12"/>
                <c:pt idx="0">
                  <c:v>0.8693</c:v>
                </c:pt>
                <c:pt idx="1">
                  <c:v>0.8476</c:v>
                </c:pt>
                <c:pt idx="2">
                  <c:v>0.7463</c:v>
                </c:pt>
                <c:pt idx="3">
                  <c:v>0.7758</c:v>
                </c:pt>
                <c:pt idx="4">
                  <c:v>0.8625</c:v>
                </c:pt>
                <c:pt idx="5">
                  <c:v>0.8255</c:v>
                </c:pt>
                <c:pt idx="6">
                  <c:v>0.8018</c:v>
                </c:pt>
                <c:pt idx="7">
                  <c:v>0.7571</c:v>
                </c:pt>
                <c:pt idx="8">
                  <c:v>0.8571</c:v>
                </c:pt>
                <c:pt idx="9">
                  <c:v>0.8592</c:v>
                </c:pt>
                <c:pt idx="10">
                  <c:v>0.9191</c:v>
                </c:pt>
                <c:pt idx="11">
                  <c:v>0.9877</c:v>
                </c:pt>
              </c:numCache>
            </c:numRef>
          </c:val>
        </c:ser>
        <c:ser>
          <c:idx val="1"/>
          <c:order val="1"/>
          <c:tx>
            <c:strRef>
              <c:f>Sheet1!$C$1</c:f>
              <c:strCache>
                <c:ptCount val="1"/>
                <c:pt idx="0">
                  <c:v>最终毕业去向落实率</c:v>
                </c:pt>
              </c:strCache>
            </c:strRef>
          </c:tx>
          <c:spPr>
            <a:solidFill>
              <a:srgbClr val="4F81BD">
                <a:lumMod val="20000"/>
                <a:lumOff val="8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ysClr val="windowText" lastClr="000000">
                          <a:shade val="95000"/>
                          <a:satMod val="105000"/>
                        </a:sysClr>
                      </a:solidFill>
                      <a:prstDash val="solid"/>
                      <a:round/>
                    </a:ln>
                    <a:effectLst/>
                  </c:spPr>
                </c15:leaderLines>
              </c:ext>
            </c:extLst>
          </c:dLbls>
          <c:cat>
            <c:strRef>
              <c:f>Sheet1!$A$2:$A$13</c:f>
              <c:strCache>
                <c:ptCount val="12"/>
                <c:pt idx="0">
                  <c:v>国际护理学院</c:v>
                </c:pt>
                <c:pt idx="1">
                  <c:v>总体</c:v>
                </c:pt>
                <c:pt idx="2">
                  <c:v>健康科学学院</c:v>
                </c:pt>
                <c:pt idx="3">
                  <c:v>城建学院</c:v>
                </c:pt>
                <c:pt idx="4">
                  <c:v>信息工程学院</c:v>
                </c:pt>
                <c:pt idx="5">
                  <c:v>财经学院</c:v>
                </c:pt>
                <c:pt idx="6">
                  <c:v>机电工程学院</c:v>
                </c:pt>
                <c:pt idx="7">
                  <c:v>海事学院</c:v>
                </c:pt>
                <c:pt idx="8">
                  <c:v>传媒与音乐学院</c:v>
                </c:pt>
                <c:pt idx="9">
                  <c:v>设计学院</c:v>
                </c:pt>
                <c:pt idx="10">
                  <c:v>临床医药学院</c:v>
                </c:pt>
                <c:pt idx="11">
                  <c:v>化学与材料工程学院</c:v>
                </c:pt>
              </c:strCache>
            </c:strRef>
          </c:cat>
          <c:val>
            <c:numRef>
              <c:f>Sheet1!$C$2:$C$13</c:f>
              <c:numCache>
                <c:formatCode>0.00%</c:formatCode>
                <c:ptCount val="12"/>
                <c:pt idx="0">
                  <c:v>0.8628</c:v>
                </c:pt>
                <c:pt idx="1">
                  <c:v>0.9473</c:v>
                </c:pt>
                <c:pt idx="2">
                  <c:v>0.9662</c:v>
                </c:pt>
                <c:pt idx="3">
                  <c:v>0.9799</c:v>
                </c:pt>
                <c:pt idx="4">
                  <c:v>0.9835</c:v>
                </c:pt>
                <c:pt idx="5">
                  <c:v>0.9878</c:v>
                </c:pt>
                <c:pt idx="6">
                  <c:v>0.9978</c:v>
                </c:pt>
                <c:pt idx="7">
                  <c:v>1</c:v>
                </c:pt>
                <c:pt idx="8">
                  <c:v>1</c:v>
                </c:pt>
                <c:pt idx="9">
                  <c:v>1</c:v>
                </c:pt>
                <c:pt idx="10">
                  <c:v>1</c:v>
                </c:pt>
                <c:pt idx="11">
                  <c:v>1</c:v>
                </c:pt>
              </c:numCache>
            </c:numRef>
          </c:val>
        </c:ser>
        <c:dLbls>
          <c:showLegendKey val="0"/>
          <c:showVal val="1"/>
          <c:showCatName val="0"/>
          <c:showSerName val="0"/>
          <c:showPercent val="0"/>
          <c:showBubbleSize val="0"/>
        </c:dLbls>
        <c:gapWidth val="150"/>
        <c:overlap val="-30"/>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972182824"/>
        <c:crosses val="autoZero"/>
        <c:auto val="1"/>
        <c:lblAlgn val="ctr"/>
        <c:lblOffset val="100"/>
        <c:noMultiLvlLbl val="0"/>
      </c:catAx>
      <c:valAx>
        <c:axId val="972182824"/>
        <c:scaling>
          <c:orientation val="minMax"/>
          <c:max val="1"/>
          <c:min val="0"/>
        </c:scaling>
        <c:delete val="0"/>
        <c:axPos val="b"/>
        <c:numFmt formatCode="0.00%" sourceLinked="1"/>
        <c:majorTickMark val="out"/>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972182432"/>
        <c:crosses val="autoZero"/>
        <c:crossBetween val="between"/>
        <c:majorUnit val="0.2"/>
      </c:valAx>
      <c:spPr>
        <a:solidFill>
          <a:sysClr val="window" lastClr="FFFFFF"/>
        </a:solidFill>
        <a:ln>
          <a:noFill/>
        </a:ln>
        <a:effectLst/>
      </c:spPr>
    </c:plotArea>
    <c:legend>
      <c:legendPos val="b"/>
      <c:layout>
        <c:manualLayout>
          <c:xMode val="edge"/>
          <c:yMode val="edge"/>
          <c:x val="0.217652113349569"/>
          <c:y val="0.961813091794285"/>
          <c:w val="0.569394469412691"/>
          <c:h val="0.0292453635538768"/>
        </c:manualLayout>
      </c:layout>
      <c:overlay val="0"/>
      <c:spPr>
        <a:noFill/>
        <a:ln>
          <a:noFill/>
        </a:ln>
        <a:effectLst/>
      </c:spPr>
      <c:txPr>
        <a:bodyPr rot="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legend>
    <c:plotVisOnly val="1"/>
    <c:dispBlanksAs val="gap"/>
    <c:showDLblsOverMax val="0"/>
  </c:chart>
  <c:spPr>
    <a:solidFill>
      <a:sysClr val="window" lastClr="FFFFFF"/>
    </a:solidFill>
    <a:ln w="9525" cap="flat" cmpd="sng" algn="ctr">
      <a:noFill/>
      <a:prstDash val="solid"/>
      <a:round/>
    </a:ln>
    <a:effectLst/>
  </c:spPr>
  <c:txPr>
    <a:bodyPr/>
    <a:lstStyle/>
    <a:p>
      <a:pPr>
        <a:defRPr lang="zh-CN"/>
      </a:pPr>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4501000446242"/>
          <c:y val="0.0567992227715722"/>
          <c:w val="0.670623923380693"/>
          <c:h val="0.434547529384914"/>
        </c:manualLayout>
      </c:layout>
      <c:barChart>
        <c:barDir val="col"/>
        <c:grouping val="clustered"/>
        <c:varyColors val="0"/>
        <c:ser>
          <c:idx val="0"/>
          <c:order val="0"/>
          <c:tx>
            <c:strRef>
              <c:f>Sheet1!$B$1</c:f>
              <c:strCache>
                <c:ptCount val="1"/>
                <c:pt idx="0">
                  <c:v>本校2020届专科毕业生</c:v>
                </c:pt>
              </c:strCache>
            </c:strRef>
          </c:tx>
          <c:spPr>
            <a:solidFill>
              <a:srgbClr val="0F6FC6"/>
            </a:solidFill>
            <a:ln>
              <a:noFill/>
            </a:ln>
          </c:spPr>
          <c:invertIfNegative val="1"/>
          <c:dLbls>
            <c:delete val="1"/>
          </c:dLbls>
          <c:cat>
            <c:strRef>
              <c:f>Sheet1!$A$2:$A$7</c:f>
              <c:strCache>
                <c:ptCount val="6"/>
                <c:pt idx="0">
                  <c:v>国内工作</c:v>
                </c:pt>
                <c:pt idx="1">
                  <c:v>国内求学</c:v>
                </c:pt>
                <c:pt idx="2">
                  <c:v>自由职业</c:v>
                </c:pt>
                <c:pt idx="3">
                  <c:v>自主创业</c:v>
                </c:pt>
                <c:pt idx="4">
                  <c:v>出国/出境</c:v>
                </c:pt>
                <c:pt idx="5">
                  <c:v>未就业</c:v>
                </c:pt>
              </c:strCache>
            </c:strRef>
          </c:cat>
          <c:val>
            <c:numRef>
              <c:f>Sheet1!$B$2:$B$7</c:f>
              <c:numCache>
                <c:formatCode>0.00%</c:formatCode>
                <c:ptCount val="6"/>
                <c:pt idx="0">
                  <c:v>0.553997194950912</c:v>
                </c:pt>
                <c:pt idx="1">
                  <c:v>0.110799438990182</c:v>
                </c:pt>
                <c:pt idx="2">
                  <c:v>0.00701262272089762</c:v>
                </c:pt>
                <c:pt idx="3">
                  <c:v>0.0869565217391304</c:v>
                </c:pt>
                <c:pt idx="4">
                  <c:v>0.0476858345021038</c:v>
                </c:pt>
                <c:pt idx="5">
                  <c:v>0.193548387096774</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Sheet1!$C$1</c:f>
              <c:strCache>
                <c:ptCount val="1"/>
                <c:pt idx="0">
                  <c:v>本校2021届专科毕业生</c:v>
                </c:pt>
              </c:strCache>
            </c:strRef>
          </c:tx>
          <c:invertIfNegative val="0"/>
          <c:dLbls>
            <c:delete val="1"/>
          </c:dLbls>
          <c:cat>
            <c:strRef>
              <c:f>Sheet1!$A$2:$A$7</c:f>
              <c:strCache>
                <c:ptCount val="6"/>
                <c:pt idx="0">
                  <c:v>国内工作</c:v>
                </c:pt>
                <c:pt idx="1">
                  <c:v>国内求学</c:v>
                </c:pt>
                <c:pt idx="2">
                  <c:v>自由职业</c:v>
                </c:pt>
                <c:pt idx="3">
                  <c:v>自主创业</c:v>
                </c:pt>
                <c:pt idx="4">
                  <c:v>出国/出境</c:v>
                </c:pt>
                <c:pt idx="5">
                  <c:v>未就业</c:v>
                </c:pt>
              </c:strCache>
            </c:strRef>
          </c:cat>
          <c:val>
            <c:numRef>
              <c:f>Sheet1!$C$2:$C$7</c:f>
              <c:numCache>
                <c:formatCode>0.00%</c:formatCode>
                <c:ptCount val="6"/>
                <c:pt idx="0">
                  <c:v>0.492134831460674</c:v>
                </c:pt>
                <c:pt idx="1">
                  <c:v>0.232584269662921</c:v>
                </c:pt>
                <c:pt idx="2">
                  <c:v>0.00449438202247191</c:v>
                </c:pt>
                <c:pt idx="3">
                  <c:v>0.0887640449438202</c:v>
                </c:pt>
                <c:pt idx="4">
                  <c:v>0.0292134831460674</c:v>
                </c:pt>
                <c:pt idx="5">
                  <c:v>0.152808988764045</c:v>
                </c:pt>
              </c:numCache>
            </c:numRef>
          </c:val>
        </c:ser>
        <c:ser>
          <c:idx val="2"/>
          <c:order val="2"/>
          <c:tx>
            <c:strRef>
              <c:f>Sheet1!$D$1</c:f>
              <c:strCache>
                <c:ptCount val="1"/>
                <c:pt idx="0">
                  <c:v>本校2022届专科毕业生</c:v>
                </c:pt>
              </c:strCache>
            </c:strRef>
          </c:tx>
          <c:spPr>
            <a:solidFill>
              <a:srgbClr val="4F81BD">
                <a:lumMod val="40000"/>
                <a:lumOff val="60000"/>
              </a:srgbClr>
            </a:solidFill>
          </c:spPr>
          <c:invertIfNegative val="0"/>
          <c:dLbls>
            <c:delete val="1"/>
          </c:dLbls>
          <c:cat>
            <c:strRef>
              <c:f>Sheet1!$A$2:$A$7</c:f>
              <c:strCache>
                <c:ptCount val="6"/>
                <c:pt idx="0">
                  <c:v>国内工作</c:v>
                </c:pt>
                <c:pt idx="1">
                  <c:v>国内求学</c:v>
                </c:pt>
                <c:pt idx="2">
                  <c:v>自由职业</c:v>
                </c:pt>
                <c:pt idx="3">
                  <c:v>自主创业</c:v>
                </c:pt>
                <c:pt idx="4">
                  <c:v>出国/出境</c:v>
                </c:pt>
                <c:pt idx="5">
                  <c:v>未就业</c:v>
                </c:pt>
              </c:strCache>
            </c:strRef>
          </c:cat>
          <c:val>
            <c:numRef>
              <c:f>Sheet1!$D$2:$D$7</c:f>
              <c:numCache>
                <c:formatCode>0.00%</c:formatCode>
                <c:ptCount val="6"/>
                <c:pt idx="0">
                  <c:v>0.3949</c:v>
                </c:pt>
                <c:pt idx="1">
                  <c:v>0.3049</c:v>
                </c:pt>
                <c:pt idx="2">
                  <c:v>0.0848</c:v>
                </c:pt>
                <c:pt idx="3">
                  <c:v>0.0271</c:v>
                </c:pt>
                <c:pt idx="4">
                  <c:v>0.0359</c:v>
                </c:pt>
                <c:pt idx="5">
                  <c:v>0.0165</c:v>
                </c:pt>
              </c:numCache>
            </c:numRef>
          </c:val>
        </c:ser>
        <c:ser>
          <c:idx val="3"/>
          <c:order val="3"/>
          <c:tx>
            <c:strRef>
              <c:f>Sheet1!$E$1</c:f>
              <c:strCache>
                <c:ptCount val="1"/>
                <c:pt idx="0">
                  <c:v>全国高校2022届专科毕业生</c:v>
                </c:pt>
              </c:strCache>
            </c:strRef>
          </c:tx>
          <c:spPr>
            <a:solidFill>
              <a:srgbClr val="4F81BD">
                <a:lumMod val="20000"/>
                <a:lumOff val="80000"/>
              </a:srgbClr>
            </a:solidFill>
          </c:spPr>
          <c:invertIfNegative val="0"/>
          <c:dPt>
            <c:idx val="0"/>
            <c:invertIfNegative val="0"/>
            <c:bubble3D val="0"/>
          </c:dPt>
          <c:dLbls>
            <c:delete val="1"/>
          </c:dLbls>
          <c:cat>
            <c:strRef>
              <c:f>Sheet1!$A$2:$A$7</c:f>
              <c:strCache>
                <c:ptCount val="6"/>
                <c:pt idx="0">
                  <c:v>国内工作</c:v>
                </c:pt>
                <c:pt idx="1">
                  <c:v>国内求学</c:v>
                </c:pt>
                <c:pt idx="2">
                  <c:v>自由职业</c:v>
                </c:pt>
                <c:pt idx="3">
                  <c:v>自主创业</c:v>
                </c:pt>
                <c:pt idx="4">
                  <c:v>出国/出境</c:v>
                </c:pt>
                <c:pt idx="5">
                  <c:v>未就业</c:v>
                </c:pt>
              </c:strCache>
            </c:strRef>
          </c:cat>
          <c:val>
            <c:numRef>
              <c:f>Sheet1!$E$2:$E$7</c:f>
              <c:numCache>
                <c:formatCode>0.00%</c:formatCode>
                <c:ptCount val="6"/>
                <c:pt idx="0">
                  <c:v>0.5103</c:v>
                </c:pt>
                <c:pt idx="1">
                  <c:v>0.2424</c:v>
                </c:pt>
                <c:pt idx="2">
                  <c:v>0.0808</c:v>
                </c:pt>
                <c:pt idx="3">
                  <c:v>0.0208</c:v>
                </c:pt>
                <c:pt idx="4">
                  <c:v>0.0076</c:v>
                </c:pt>
                <c:pt idx="5">
                  <c:v>0.1381</c:v>
                </c:pt>
              </c:numCache>
            </c:numRef>
          </c:val>
        </c:ser>
        <c:dLbls>
          <c:showLegendKey val="0"/>
          <c:showVal val="0"/>
          <c:showCatName val="0"/>
          <c:showSerName val="0"/>
          <c:showPercent val="0"/>
          <c:showBubbleSize val="0"/>
        </c:dLbls>
        <c:gapWidth val="219"/>
        <c:overlap val="-27"/>
        <c:axId val="897010696"/>
        <c:axId val="897011088"/>
      </c:barChart>
      <c:catAx>
        <c:axId val="897010696"/>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15000"/>
                <a:lumOff val="85000"/>
              </a:sysClr>
            </a:solidFill>
            <a:prstDash val="solid"/>
            <a:round/>
          </a:ln>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897011088"/>
        <c:crosses val="autoZero"/>
        <c:auto val="1"/>
        <c:lblAlgn val="ctr"/>
        <c:lblOffset val="100"/>
        <c:noMultiLvlLbl val="0"/>
      </c:catAx>
      <c:valAx>
        <c:axId val="897011088"/>
        <c:scaling>
          <c:orientation val="minMax"/>
          <c:max val="1"/>
        </c:scaling>
        <c:delete val="0"/>
        <c:axPos val="l"/>
        <c:numFmt formatCode="0.00%" sourceLinked="1"/>
        <c:majorTickMark val="in"/>
        <c:minorTickMark val="none"/>
        <c:tickLblPos val="nextTo"/>
        <c:spPr>
          <a:noFill/>
          <a:ln w="9525" cap="flat" cmpd="sng" algn="ctr">
            <a:solidFill>
              <a:sysClr val="window" lastClr="FFFFFF">
                <a:lumMod val="65000"/>
              </a:sysClr>
            </a:solidFill>
            <a:prstDash val="solid"/>
            <a:round/>
          </a:ln>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897010696"/>
        <c:crosses val="autoZero"/>
        <c:crossBetween val="between"/>
        <c:majorUnit val="0.2"/>
      </c:valAx>
      <c:dTable>
        <c:showHorzBorder val="1"/>
        <c:showVertBorder val="1"/>
        <c:showOutline val="1"/>
        <c:showKeys val="1"/>
        <c:spPr>
          <a:noFill/>
          <a:ln w="9525" cap="flat" cmpd="sng" algn="ctr">
            <a:solidFill>
              <a:sysClr val="window" lastClr="FFFFFF">
                <a:lumMod val="50000"/>
              </a:sysClr>
            </a:solidFill>
            <a:prstDash val="solid"/>
            <a:round/>
          </a:ln>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dTable>
      <c:spPr>
        <a:noFill/>
        <a:ln>
          <a:solidFill>
            <a:sysClr val="window" lastClr="FFFFFF"/>
          </a:solidFill>
        </a:ln>
      </c:spPr>
    </c:plotArea>
    <c:plotVisOnly val="1"/>
    <c:dispBlanksAs val="gap"/>
    <c:showDLblsOverMax val="0"/>
  </c:chart>
  <c:spPr>
    <a:solidFill>
      <a:sysClr val="window" lastClr="FFFFFF"/>
    </a:solidFill>
    <a:ln w="9525" cap="flat" cmpd="sng" algn="ctr">
      <a:solidFill>
        <a:sysClr val="window" lastClr="FFFFFF"/>
      </a:solidFill>
      <a:prstDash val="solid"/>
      <a:round/>
    </a:ln>
  </c:spPr>
  <c:txPr>
    <a:bodyPr/>
    <a:lstStyle/>
    <a:p>
      <a:pPr>
        <a:defRPr lang="zh-CN"/>
      </a:pPr>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0472455866269"/>
          <c:y val="0.111672748223545"/>
          <c:w val="0.487043013881366"/>
          <c:h val="0.834727503816813"/>
        </c:manualLayout>
      </c:layout>
      <c:pieChart>
        <c:varyColors val="1"/>
        <c:ser>
          <c:idx val="0"/>
          <c:order val="0"/>
          <c:tx>
            <c:strRef>
              <c:f>Sheet1!$B$1</c:f>
              <c:strCache>
                <c:ptCount val="1"/>
                <c:pt idx="0">
                  <c:v>占比</c:v>
                </c:pt>
              </c:strCache>
            </c:strRef>
          </c:tx>
          <c:explosion val="0"/>
          <c:dPt>
            <c:idx val="0"/>
            <c:bubble3D val="0"/>
            <c:spPr>
              <a:solidFill>
                <a:srgbClr val="0F6FC6"/>
              </a:solidFill>
              <a:ln w="19050">
                <a:solidFill>
                  <a:sysClr val="window" lastClr="FFFFFF"/>
                </a:solidFill>
              </a:ln>
              <a:effectLst/>
            </c:spPr>
          </c:dPt>
          <c:dPt>
            <c:idx val="1"/>
            <c:bubble3D val="0"/>
            <c:spPr>
              <a:solidFill>
                <a:srgbClr val="009DD9"/>
              </a:solidFill>
              <a:ln w="19050">
                <a:solidFill>
                  <a:sysClr val="window" lastClr="FFFFFF"/>
                </a:solidFill>
              </a:ln>
              <a:effectLst/>
            </c:spPr>
          </c:dPt>
          <c:dPt>
            <c:idx val="2"/>
            <c:bubble3D val="0"/>
            <c:spPr>
              <a:solidFill>
                <a:srgbClr val="4F81BD">
                  <a:lumMod val="75000"/>
                </a:srgbClr>
              </a:solidFill>
              <a:ln w="19050">
                <a:solidFill>
                  <a:sysClr val="window" lastClr="FFFFFF"/>
                </a:solidFill>
              </a:ln>
              <a:effectLst/>
            </c:spPr>
          </c:dPt>
          <c:dPt>
            <c:idx val="3"/>
            <c:bubble3D val="0"/>
            <c:spPr>
              <a:solidFill>
                <a:srgbClr val="4BACC6">
                  <a:lumMod val="60000"/>
                  <a:lumOff val="40000"/>
                </a:srgbClr>
              </a:solidFill>
              <a:ln w="19050">
                <a:solidFill>
                  <a:sysClr val="window" lastClr="FFFFFF"/>
                </a:solidFill>
              </a:ln>
              <a:effectLst/>
            </c:spPr>
          </c:dPt>
          <c:dPt>
            <c:idx val="4"/>
            <c:bubble3D val="0"/>
            <c:spPr>
              <a:solidFill>
                <a:srgbClr val="4F81BD">
                  <a:lumMod val="20000"/>
                  <a:lumOff val="80000"/>
                </a:srgbClr>
              </a:solidFill>
              <a:ln w="19050">
                <a:solidFill>
                  <a:sysClr val="window" lastClr="FFFFFF"/>
                </a:solidFill>
              </a:ln>
              <a:effectLst/>
            </c:spPr>
          </c:dPt>
          <c:dLbls>
            <c:dLbl>
              <c:idx val="0"/>
              <c:layout>
                <c:manualLayout>
                  <c:x val="0.03237911627026"/>
                  <c:y val="0.100639358282462"/>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0130530075493141"/>
                  <c:y val="-2.94906956855112e-6"/>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00590091187055226"/>
                  <c:y val="-0.0459199622519095"/>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00687285223367698"/>
                  <c:y val="0.0673912530596597"/>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0.0553960956699628"/>
                  <c:y val="-0.0219437730935813"/>
                </c:manualLayout>
              </c:layout>
              <c:numFmt formatCode="0.00%" sourceLinked="0"/>
              <c:spPr>
                <a:noFill/>
                <a:ln>
                  <a:noFill/>
                </a:ln>
                <a:effectLst/>
              </c:spPr>
              <c:txPr>
                <a:bodyPr rot="0" spcFirstLastPara="1" vertOverflow="clip" horzOverflow="clip" vert="horz" wrap="square" lIns="36576" tIns="18288" rIns="36576" bIns="18288" anchor="ctr" anchorCtr="1">
                  <a:no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1"/>
              <c:showCatName val="1"/>
              <c:showSerName val="0"/>
              <c:showPercent val="0"/>
              <c:showBubbleSize val="0"/>
              <c:extLst>
                <c:ext xmlns:c15="http://schemas.microsoft.com/office/drawing/2012/chart" uri="{CE6537A1-D6FC-4f65-9D91-7224C49458BB}">
                  <c15:layout>
                    <c:manualLayout>
                      <c:w val="0.266616829235174"/>
                      <c:h val="0.126659967361883"/>
                    </c:manualLayout>
                  </c15:layout>
                </c:ext>
              </c:extLst>
            </c:dLbl>
            <c:numFmt formatCode="0.00%" sourceLinked="0"/>
            <c:spPr>
              <a:noFill/>
              <a:ln>
                <a:noFill/>
              </a:ln>
              <a:effectLst/>
            </c:spPr>
            <c:txPr>
              <a:bodyPr rot="0" spcFirstLastPara="1" vertOverflow="clip" horzOverflow="clip" vert="horz" wrap="square" lIns="36576" tIns="18288" rIns="36576" bIns="18288" anchor="ctr" anchorCtr="1">
                <a:sp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1"/>
            <c:showCatName val="1"/>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非常多</c:v>
                </c:pt>
                <c:pt idx="1">
                  <c:v>比较多</c:v>
                </c:pt>
                <c:pt idx="2">
                  <c:v>一般</c:v>
                </c:pt>
                <c:pt idx="3">
                  <c:v>比较少</c:v>
                </c:pt>
                <c:pt idx="4">
                  <c:v>非常少</c:v>
                </c:pt>
              </c:strCache>
            </c:strRef>
          </c:cat>
          <c:val>
            <c:numRef>
              <c:f>Sheet1!$B$2:$B$6</c:f>
              <c:numCache>
                <c:formatCode>0.00%</c:formatCode>
                <c:ptCount val="5"/>
                <c:pt idx="0">
                  <c:v>0.1916</c:v>
                </c:pt>
                <c:pt idx="1">
                  <c:v>0.2418</c:v>
                </c:pt>
                <c:pt idx="2">
                  <c:v>0.4167</c:v>
                </c:pt>
                <c:pt idx="3">
                  <c:v>0.0746</c:v>
                </c:pt>
                <c:pt idx="4">
                  <c:v>0.0753</c:v>
                </c:pt>
              </c:numCache>
            </c:numRef>
          </c:val>
        </c:ser>
        <c:dLbls>
          <c:showLegendKey val="0"/>
          <c:showVal val="0"/>
          <c:showCatName val="0"/>
          <c:showSerName val="0"/>
          <c:showPercent val="0"/>
          <c:showBubbleSize val="0"/>
          <c:showLeaderLines val="0"/>
        </c:dLbls>
        <c:firstSliceAng val="0"/>
      </c:pieChart>
      <c:spPr>
        <a:noFill/>
        <a:ln>
          <a:noFill/>
        </a:ln>
      </c:spPr>
    </c:plotArea>
    <c:plotVisOnly val="1"/>
    <c:dispBlanksAs val="gap"/>
    <c:showDLblsOverMax val="0"/>
  </c:chart>
  <c:spPr>
    <a:solidFill>
      <a:sysClr val="window" lastClr="FFFFFF"/>
    </a:solidFill>
    <a:ln w="9525" cap="flat" cmpd="sng" algn="ctr">
      <a:solidFill>
        <a:sysClr val="window" lastClr="FFFFFF"/>
      </a:solidFill>
      <a:prstDash val="solid"/>
      <a:round/>
    </a:ln>
  </c:spPr>
  <c:txPr>
    <a:bodyPr/>
    <a:lstStyle/>
    <a:p>
      <a:pPr>
        <a:defRPr lang="zh-CN">
          <a:solidFill>
            <a:sysClr val="windowText" lastClr="000000"/>
          </a:solidFill>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dk1">
                    <a:lumMod val="75000"/>
                    <a:lumOff val="25000"/>
                  </a:schemeClr>
                </a:solidFill>
                <a:latin typeface="+mn-lt"/>
                <a:ea typeface="+mn-ea"/>
                <a:cs typeface="+mn-cs"/>
              </a:defRPr>
            </a:pPr>
            <a:r>
              <a:rPr lang="zh-CN" altLang="en-US"/>
              <a:t>毕业去向</a:t>
            </a:r>
            <a:endParaRPr lang="zh-CN" altLang="en-US"/>
          </a:p>
        </c:rich>
      </c:tx>
      <c:layout/>
      <c:overlay val="0"/>
      <c:spPr>
        <a:noFill/>
        <a:ln>
          <a:noFill/>
        </a:ln>
        <a:effectLst/>
      </c:spPr>
    </c:title>
    <c:autoTitleDeleted val="0"/>
    <c:plotArea>
      <c:layout/>
      <c:barChart>
        <c:barDir val="bar"/>
        <c:grouping val="clustered"/>
        <c:varyColors val="0"/>
        <c:ser>
          <c:idx val="0"/>
          <c:order val="0"/>
          <c:tx>
            <c:strRef>
              <c:f>'[2022毕业生信息(1).XLSX]筛选分析-毕业去向 (计数)'!$B$1</c:f>
              <c:strCache>
                <c:ptCount val="1"/>
                <c:pt idx="0">
                  <c:v>人数</c:v>
                </c:pt>
              </c:strCache>
            </c:strRef>
          </c:tx>
          <c:spPr>
            <a:gradFill>
              <a:gsLst>
                <a:gs pos="0">
                  <a:schemeClr val="accent1">
                    <a:lumMod val="40000"/>
                    <a:lumOff val="60000"/>
                  </a:schemeClr>
                </a:gs>
                <a:gs pos="90000">
                  <a:schemeClr val="accent1"/>
                </a:gs>
              </a:gsLst>
              <a:lin ang="10800000" scaled="0"/>
            </a:gradFill>
            <a:ln>
              <a:gradFill>
                <a:gsLst>
                  <a:gs pos="0">
                    <a:schemeClr val="accent1"/>
                  </a:gs>
                  <a:gs pos="100000">
                    <a:schemeClr val="accent1">
                      <a:lumMod val="75000"/>
                    </a:schemeClr>
                  </a:gs>
                </a:gsLst>
                <a:lin ang="10800000" scaled="0"/>
              </a:gradFill>
            </a:ln>
            <a:effectLst>
              <a:outerShdw blurRad="76200" dist="25400" dir="2700000" algn="tl" rotWithShape="0">
                <a:schemeClr val="accent1">
                  <a:lumMod val="50000"/>
                  <a:alpha val="30000"/>
                </a:schemeClr>
              </a:outerShdw>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'[2022毕业生信息(1).XLSX]筛选分析-毕业去向 (计数)'!$A$2:$A$10</c:f>
              <c:strCache>
                <c:ptCount val="9"/>
                <c:pt idx="0">
                  <c:v>签就业协议形式就业</c:v>
                </c:pt>
                <c:pt idx="1">
                  <c:v>专科升普通本科</c:v>
                </c:pt>
                <c:pt idx="2">
                  <c:v>自由职业</c:v>
                </c:pt>
                <c:pt idx="3">
                  <c:v>其他录用证明就业</c:v>
                </c:pt>
                <c:pt idx="4">
                  <c:v>求职中</c:v>
                </c:pt>
                <c:pt idx="5">
                  <c:v>签劳动合同就业</c:v>
                </c:pt>
                <c:pt idx="6">
                  <c:v>应征义务兵</c:v>
                </c:pt>
                <c:pt idx="7">
                  <c:v>自主创业</c:v>
                </c:pt>
                <c:pt idx="8">
                  <c:v>出国出境深造</c:v>
                </c:pt>
              </c:strCache>
            </c:strRef>
          </c:cat>
          <c:val>
            <c:numRef>
              <c:f>'[2022毕业生信息(1).XLSX]筛选分析-毕业去向 (计数)'!$B$2:$B$10</c:f>
              <c:numCache>
                <c:formatCode>General</c:formatCode>
                <c:ptCount val="9"/>
                <c:pt idx="0">
                  <c:v>1986</c:v>
                </c:pt>
                <c:pt idx="1">
                  <c:v>1204</c:v>
                </c:pt>
                <c:pt idx="2">
                  <c:v>372</c:v>
                </c:pt>
                <c:pt idx="3">
                  <c:v>274</c:v>
                </c:pt>
                <c:pt idx="4">
                  <c:v>217</c:v>
                </c:pt>
                <c:pt idx="5">
                  <c:v>209</c:v>
                </c:pt>
                <c:pt idx="6">
                  <c:v>74</c:v>
                </c:pt>
                <c:pt idx="7">
                  <c:v>19</c:v>
                </c:pt>
                <c:pt idx="8">
                  <c:v>1</c:v>
                </c:pt>
              </c:numCache>
            </c:numRef>
          </c:val>
        </c:ser>
        <c:dLbls>
          <c:showLegendKey val="0"/>
          <c:showVal val="1"/>
          <c:showCatName val="0"/>
          <c:showSerName val="0"/>
          <c:showPercent val="0"/>
          <c:showBubbleSize val="0"/>
        </c:dLbls>
        <c:gapWidth val="140"/>
        <c:overlap val="-40"/>
        <c:axId val="465056669"/>
        <c:axId val="984394876"/>
      </c:barChart>
      <c:catAx>
        <c:axId val="46505666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4394876"/>
        <c:crosses val="autoZero"/>
        <c:auto val="1"/>
        <c:lblAlgn val="ctr"/>
        <c:lblOffset val="100"/>
        <c:noMultiLvlLbl val="0"/>
      </c:catAx>
      <c:valAx>
        <c:axId val="984394876"/>
        <c:scaling>
          <c:orientation val="minMax"/>
        </c:scaling>
        <c:delete val="0"/>
        <c:axPos val="b"/>
        <c:majorGridlines>
          <c:spPr>
            <a:ln w="9525" cap="flat" cmpd="sng" algn="ctr">
              <a:solidFill>
                <a:schemeClr val="bg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5056669"/>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4647836883944"/>
          <c:y val="0.171435094907807"/>
          <c:w val="0.654945268286707"/>
          <c:h val="0.646760299163232"/>
        </c:manualLayout>
      </c:layout>
      <c:barChart>
        <c:barDir val="bar"/>
        <c:grouping val="percentStacked"/>
        <c:varyColors val="0"/>
        <c:ser>
          <c:idx val="0"/>
          <c:order val="0"/>
          <c:tx>
            <c:strRef>
              <c:f>Sheet1!$B$1</c:f>
              <c:strCache>
                <c:ptCount val="1"/>
                <c:pt idx="0">
                  <c:v>较多</c:v>
                </c:pt>
              </c:strCache>
            </c:strRef>
          </c:tx>
          <c:spPr>
            <a:solidFill>
              <a:srgbClr val="0F6FC6"/>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 lastClr="FFFFFF"/>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ysClr val="windowText" lastClr="000000">
                          <a:lumMod val="35000"/>
                          <a:lumOff val="65000"/>
                        </a:sysClr>
                      </a:solidFill>
                      <a:round/>
                    </a:ln>
                    <a:effectLst/>
                  </c:spPr>
                </c15:leaderLines>
              </c:ext>
            </c:extLst>
          </c:dLbls>
          <c:cat>
            <c:strRef>
              <c:f>Sheet1!$A$2:$A$3</c:f>
              <c:strCache>
                <c:ptCount val="2"/>
                <c:pt idx="0">
                  <c:v>全国高校2022届专科毕业生</c:v>
                </c:pt>
                <c:pt idx="1">
                  <c:v>本校2022届专科毕业生</c:v>
                </c:pt>
              </c:strCache>
            </c:strRef>
          </c:cat>
          <c:val>
            <c:numRef>
              <c:f>Sheet1!$B$2:$B$3</c:f>
              <c:numCache>
                <c:formatCode>0.00%</c:formatCode>
                <c:ptCount val="2"/>
                <c:pt idx="0">
                  <c:v>0.5007</c:v>
                </c:pt>
                <c:pt idx="1">
                  <c:v>0.4334</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Sheet1!$C$1</c:f>
              <c:strCache>
                <c:ptCount val="1"/>
                <c:pt idx="0">
                  <c:v>一般</c:v>
                </c:pt>
              </c:strCache>
            </c:strRef>
          </c:tx>
          <c:spPr>
            <a:solidFill>
              <a:srgbClr val="009DD9"/>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 lastClr="FFFFFF"/>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ysClr val="windowText" lastClr="000000">
                          <a:lumMod val="35000"/>
                          <a:lumOff val="65000"/>
                        </a:sysClr>
                      </a:solidFill>
                      <a:round/>
                    </a:ln>
                    <a:effectLst/>
                  </c:spPr>
                </c15:leaderLines>
              </c:ext>
            </c:extLst>
          </c:dLbls>
          <c:cat>
            <c:strRef>
              <c:f>Sheet1!$A$2:$A$3</c:f>
              <c:strCache>
                <c:ptCount val="2"/>
                <c:pt idx="0">
                  <c:v>全国高校2022届专科毕业生</c:v>
                </c:pt>
                <c:pt idx="1">
                  <c:v>本校2022届专科毕业生</c:v>
                </c:pt>
              </c:strCache>
            </c:strRef>
          </c:cat>
          <c:val>
            <c:numRef>
              <c:f>Sheet1!$C$2:$C$3</c:f>
              <c:numCache>
                <c:formatCode>0.00%</c:formatCode>
                <c:ptCount val="2"/>
                <c:pt idx="0">
                  <c:v>0.383</c:v>
                </c:pt>
                <c:pt idx="1">
                  <c:v>0.4167</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Sheet1!$D$1</c:f>
              <c:strCache>
                <c:ptCount val="1"/>
                <c:pt idx="0">
                  <c:v>较少</c:v>
                </c:pt>
              </c:strCache>
            </c:strRef>
          </c:tx>
          <c:spPr>
            <a:solidFill>
              <a:srgbClr val="95B3D7"/>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 lastClr="FFFFFF"/>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ysClr val="windowText" lastClr="000000">
                          <a:lumMod val="35000"/>
                          <a:lumOff val="65000"/>
                        </a:sysClr>
                      </a:solidFill>
                      <a:round/>
                    </a:ln>
                    <a:effectLst/>
                  </c:spPr>
                </c15:leaderLines>
              </c:ext>
            </c:extLst>
          </c:dLbls>
          <c:cat>
            <c:strRef>
              <c:f>Sheet1!$A$2:$A$3</c:f>
              <c:strCache>
                <c:ptCount val="2"/>
                <c:pt idx="0">
                  <c:v>全国高校2022届专科毕业生</c:v>
                </c:pt>
                <c:pt idx="1">
                  <c:v>本校2022届专科毕业生</c:v>
                </c:pt>
              </c:strCache>
            </c:strRef>
          </c:cat>
          <c:val>
            <c:numRef>
              <c:f>Sheet1!$D$2:$D$3</c:f>
              <c:numCache>
                <c:formatCode>0.00%</c:formatCode>
                <c:ptCount val="2"/>
                <c:pt idx="0">
                  <c:v>0.1162</c:v>
                </c:pt>
                <c:pt idx="1">
                  <c:v>0.1498</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1"/>
          <c:showCatName val="0"/>
          <c:showSerName val="0"/>
          <c:showPercent val="0"/>
          <c:showBubbleSize val="0"/>
        </c:dLbls>
        <c:gapWidth val="150"/>
        <c:overlap val="100"/>
        <c:axId val="675901232"/>
        <c:axId val="675896880"/>
      </c:barChart>
      <c:catAx>
        <c:axId val="675901232"/>
        <c:scaling>
          <c:orientation val="minMax"/>
        </c:scaling>
        <c:delete val="0"/>
        <c:axPos val="l"/>
        <c:numFmt formatCode="General" sourceLinked="1"/>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675896880"/>
        <c:crosses val="autoZero"/>
        <c:auto val="1"/>
        <c:lblAlgn val="ctr"/>
        <c:lblOffset val="100"/>
        <c:noMultiLvlLbl val="0"/>
      </c:catAx>
      <c:valAx>
        <c:axId val="675896880"/>
        <c:scaling>
          <c:orientation val="minMax"/>
          <c:min val="0"/>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675901232"/>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legend>
    <c:plotVisOnly val="1"/>
    <c:dispBlanksAs val="gap"/>
    <c:showDLblsOverMax val="0"/>
  </c:chart>
  <c:spPr>
    <a:solidFill>
      <a:sysClr val="window" lastClr="FFFFFF"/>
    </a:solidFill>
    <a:ln w="9525" cap="flat" cmpd="sng" algn="ctr">
      <a:noFill/>
      <a:round/>
    </a:ln>
    <a:effectLst/>
  </c:spPr>
  <c:txPr>
    <a:bodyPr/>
    <a:lstStyle/>
    <a:p>
      <a:pPr>
        <a:defRPr lang="zh-CN"/>
      </a:pPr>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7966055348054"/>
          <c:y val="0.150243393795076"/>
          <c:w val="0.693229241867155"/>
          <c:h val="0.799387818703675"/>
        </c:manualLayout>
      </c:layout>
      <c:barChart>
        <c:barDir val="bar"/>
        <c:grouping val="percentStacked"/>
        <c:varyColors val="0"/>
        <c:ser>
          <c:idx val="0"/>
          <c:order val="0"/>
          <c:tx>
            <c:strRef>
              <c:f>Sheet1!$B$1</c:f>
              <c:strCache>
                <c:ptCount val="1"/>
                <c:pt idx="0">
                  <c:v>较多</c:v>
                </c:pt>
              </c:strCache>
            </c:strRef>
          </c:tx>
          <c:spPr>
            <a:solidFill>
              <a:srgbClr val="0F6FC6"/>
            </a:solidFill>
            <a:ln>
              <a:noFill/>
            </a:ln>
          </c:spPr>
          <c:invertIfNegative val="1"/>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ysClr val="window" lastClr="FFFFFF"/>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Sheet1!$A$2:$A$12</c:f>
              <c:strCache>
                <c:ptCount val="11"/>
                <c:pt idx="0">
                  <c:v>健康科学学院</c:v>
                </c:pt>
                <c:pt idx="1">
                  <c:v>传媒与音乐学院</c:v>
                </c:pt>
                <c:pt idx="2">
                  <c:v>设计学院</c:v>
                </c:pt>
                <c:pt idx="3">
                  <c:v>海事学院</c:v>
                </c:pt>
                <c:pt idx="4">
                  <c:v>化学与材料工程学院</c:v>
                </c:pt>
                <c:pt idx="5">
                  <c:v>财经学院</c:v>
                </c:pt>
                <c:pt idx="6">
                  <c:v>城建学院</c:v>
                </c:pt>
                <c:pt idx="7">
                  <c:v>信息工程学院</c:v>
                </c:pt>
                <c:pt idx="8">
                  <c:v>机电工程学院</c:v>
                </c:pt>
                <c:pt idx="9">
                  <c:v>临床医药学院</c:v>
                </c:pt>
                <c:pt idx="10">
                  <c:v>国际护理学院</c:v>
                </c:pt>
              </c:strCache>
            </c:strRef>
          </c:cat>
          <c:val>
            <c:numRef>
              <c:f>Sheet1!$B$2:$B$12</c:f>
              <c:numCache>
                <c:formatCode>0.00%</c:formatCode>
                <c:ptCount val="11"/>
                <c:pt idx="0">
                  <c:v>0.1017</c:v>
                </c:pt>
                <c:pt idx="1">
                  <c:v>0.1818</c:v>
                </c:pt>
                <c:pt idx="2">
                  <c:v>0.2586</c:v>
                </c:pt>
                <c:pt idx="3">
                  <c:v>0.2679</c:v>
                </c:pt>
                <c:pt idx="4">
                  <c:v>0.2875</c:v>
                </c:pt>
                <c:pt idx="5">
                  <c:v>0.3398</c:v>
                </c:pt>
                <c:pt idx="6">
                  <c:v>0.3492</c:v>
                </c:pt>
                <c:pt idx="7">
                  <c:v>0.375</c:v>
                </c:pt>
                <c:pt idx="8">
                  <c:v>0.4785</c:v>
                </c:pt>
                <c:pt idx="9">
                  <c:v>0.5183</c:v>
                </c:pt>
                <c:pt idx="10">
                  <c:v>0.591</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Sheet1!$C$1</c:f>
              <c:strCache>
                <c:ptCount val="1"/>
                <c:pt idx="0">
                  <c:v>一般</c:v>
                </c:pt>
              </c:strCache>
            </c:strRef>
          </c:tx>
          <c:spPr>
            <a:solidFill>
              <a:srgbClr val="009DD9"/>
            </a:solidFill>
            <a:ln>
              <a:noFill/>
            </a:ln>
          </c:spPr>
          <c:invertIfNegative val="1"/>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ysClr val="window" lastClr="FFFFFF"/>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Sheet1!$A$2:$A$12</c:f>
              <c:strCache>
                <c:ptCount val="11"/>
                <c:pt idx="0">
                  <c:v>健康科学学院</c:v>
                </c:pt>
                <c:pt idx="1">
                  <c:v>传媒与音乐学院</c:v>
                </c:pt>
                <c:pt idx="2">
                  <c:v>设计学院</c:v>
                </c:pt>
                <c:pt idx="3">
                  <c:v>海事学院</c:v>
                </c:pt>
                <c:pt idx="4">
                  <c:v>化学与材料工程学院</c:v>
                </c:pt>
                <c:pt idx="5">
                  <c:v>财经学院</c:v>
                </c:pt>
                <c:pt idx="6">
                  <c:v>城建学院</c:v>
                </c:pt>
                <c:pt idx="7">
                  <c:v>信息工程学院</c:v>
                </c:pt>
                <c:pt idx="8">
                  <c:v>机电工程学院</c:v>
                </c:pt>
                <c:pt idx="9">
                  <c:v>临床医药学院</c:v>
                </c:pt>
                <c:pt idx="10">
                  <c:v>国际护理学院</c:v>
                </c:pt>
              </c:strCache>
            </c:strRef>
          </c:cat>
          <c:val>
            <c:numRef>
              <c:f>Sheet1!$C$2:$C$12</c:f>
              <c:numCache>
                <c:formatCode>0.00%</c:formatCode>
                <c:ptCount val="11"/>
                <c:pt idx="0">
                  <c:v>0.4576</c:v>
                </c:pt>
                <c:pt idx="1">
                  <c:v>0.6364</c:v>
                </c:pt>
                <c:pt idx="2">
                  <c:v>0.5862</c:v>
                </c:pt>
                <c:pt idx="3">
                  <c:v>0.4107</c:v>
                </c:pt>
                <c:pt idx="4">
                  <c:v>0.6875</c:v>
                </c:pt>
                <c:pt idx="5">
                  <c:v>0.5049</c:v>
                </c:pt>
                <c:pt idx="6">
                  <c:v>0.4603</c:v>
                </c:pt>
                <c:pt idx="7">
                  <c:v>0.4286</c:v>
                </c:pt>
                <c:pt idx="8">
                  <c:v>0.4194</c:v>
                </c:pt>
                <c:pt idx="9">
                  <c:v>0.2982</c:v>
                </c:pt>
                <c:pt idx="10">
                  <c:v>0.3245</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2"/>
          <c:order val="2"/>
          <c:tx>
            <c:strRef>
              <c:f>Sheet1!$D$1</c:f>
              <c:strCache>
                <c:ptCount val="1"/>
                <c:pt idx="0">
                  <c:v>较少</c:v>
                </c:pt>
              </c:strCache>
            </c:strRef>
          </c:tx>
          <c:spPr>
            <a:solidFill>
              <a:srgbClr val="0BD0D9"/>
            </a:solidFill>
            <a:ln>
              <a:noFill/>
            </a:ln>
          </c:spPr>
          <c:invertIfNegative val="1"/>
          <c:dLbls>
            <c:dLbl>
              <c:idx val="4"/>
              <c:layout>
                <c:manualLayout>
                  <c:x val="-0.04642166344294"/>
                  <c:y val="-6.84710421943932e-17"/>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ysClr val="window" lastClr="FFFFFF"/>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Sheet1!$A$2:$A$12</c:f>
              <c:strCache>
                <c:ptCount val="11"/>
                <c:pt idx="0">
                  <c:v>健康科学学院</c:v>
                </c:pt>
                <c:pt idx="1">
                  <c:v>传媒与音乐学院</c:v>
                </c:pt>
                <c:pt idx="2">
                  <c:v>设计学院</c:v>
                </c:pt>
                <c:pt idx="3">
                  <c:v>海事学院</c:v>
                </c:pt>
                <c:pt idx="4">
                  <c:v>化学与材料工程学院</c:v>
                </c:pt>
                <c:pt idx="5">
                  <c:v>财经学院</c:v>
                </c:pt>
                <c:pt idx="6">
                  <c:v>城建学院</c:v>
                </c:pt>
                <c:pt idx="7">
                  <c:v>信息工程学院</c:v>
                </c:pt>
                <c:pt idx="8">
                  <c:v>机电工程学院</c:v>
                </c:pt>
                <c:pt idx="9">
                  <c:v>临床医药学院</c:v>
                </c:pt>
                <c:pt idx="10">
                  <c:v>国际护理学院</c:v>
                </c:pt>
              </c:strCache>
            </c:strRef>
          </c:cat>
          <c:val>
            <c:numRef>
              <c:f>Sheet1!$D$2:$D$12</c:f>
              <c:numCache>
                <c:formatCode>0.00%</c:formatCode>
                <c:ptCount val="11"/>
                <c:pt idx="0">
                  <c:v>0.4407</c:v>
                </c:pt>
                <c:pt idx="1">
                  <c:v>0.1818</c:v>
                </c:pt>
                <c:pt idx="2">
                  <c:v>0.1552</c:v>
                </c:pt>
                <c:pt idx="3">
                  <c:v>0.3214</c:v>
                </c:pt>
                <c:pt idx="4">
                  <c:v>0.025</c:v>
                </c:pt>
                <c:pt idx="5">
                  <c:v>0.1553</c:v>
                </c:pt>
                <c:pt idx="6">
                  <c:v>0.1905</c:v>
                </c:pt>
                <c:pt idx="7">
                  <c:v>0.1964</c:v>
                </c:pt>
                <c:pt idx="8">
                  <c:v>0.1022</c:v>
                </c:pt>
                <c:pt idx="9">
                  <c:v>0.1835</c:v>
                </c:pt>
                <c:pt idx="10">
                  <c:v>0.0844</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1"/>
          <c:showCatName val="0"/>
          <c:showSerName val="0"/>
          <c:showPercent val="0"/>
          <c:showBubbleSize val="0"/>
        </c:dLbls>
        <c:gapWidth val="100"/>
        <c:overlap val="100"/>
        <c:axId val="608997592"/>
        <c:axId val="608997984"/>
      </c:barChart>
      <c:catAx>
        <c:axId val="608997592"/>
        <c:scaling>
          <c:orientation val="minMax"/>
        </c:scaling>
        <c:delete val="0"/>
        <c:axPos val="l"/>
        <c:numFmt formatCode="General" sourceLinked="1"/>
        <c:majorTickMark val="none"/>
        <c:minorTickMark val="none"/>
        <c:tickLblPos val="nextTo"/>
        <c:spPr>
          <a:noFill/>
          <a:ln w="9525" cap="flat" cmpd="sng" algn="ctr">
            <a:solidFill>
              <a:sysClr val="windowText" lastClr="000000">
                <a:lumMod val="15000"/>
                <a:lumOff val="85000"/>
              </a:sysClr>
            </a:solidFill>
            <a:prstDash val="solid"/>
            <a:round/>
          </a:ln>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608997984"/>
        <c:crosses val="autoZero"/>
        <c:auto val="1"/>
        <c:lblAlgn val="ctr"/>
        <c:lblOffset val="100"/>
        <c:noMultiLvlLbl val="0"/>
      </c:catAx>
      <c:valAx>
        <c:axId val="608997984"/>
        <c:scaling>
          <c:orientation val="minMax"/>
          <c:min val="0"/>
        </c:scaling>
        <c:delete val="0"/>
        <c:axPos val="b"/>
        <c:numFmt formatCode="0%" sourceLinked="1"/>
        <c:majorTickMark val="none"/>
        <c:minorTickMark val="none"/>
        <c:tickLblPos val="nextTo"/>
        <c:spPr>
          <a:noFill/>
          <a:ln w="9525" cap="flat" cmpd="sng" algn="ctr">
            <a:noFill/>
            <a:prstDash val="solid"/>
            <a:round/>
          </a:ln>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608997592"/>
        <c:crosses val="autoZero"/>
        <c:crossBetween val="between"/>
      </c:valAx>
      <c:spPr>
        <a:noFill/>
        <a:ln>
          <a:noFill/>
        </a:ln>
      </c:spPr>
    </c:plotArea>
    <c:legend>
      <c:legendPos val="t"/>
      <c:layout/>
      <c:overlay val="0"/>
      <c:spPr>
        <a:noFill/>
        <a:ln>
          <a:noFill/>
        </a:ln>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gap"/>
    <c:showDLblsOverMax val="0"/>
  </c:chart>
  <c:spPr>
    <a:solidFill>
      <a:sysClr val="window" lastClr="FFFFFF"/>
    </a:solidFill>
    <a:ln w="9525" cap="flat" cmpd="sng" algn="ctr">
      <a:solidFill>
        <a:sysClr val="window" lastClr="FFFFFF"/>
      </a:solidFill>
      <a:prstDash val="solid"/>
      <a:round/>
    </a:ln>
  </c:spPr>
  <c:txPr>
    <a:bodyPr/>
    <a:lstStyle/>
    <a:p>
      <a:pPr>
        <a:defRPr lang="zh-CN">
          <a:solidFill>
            <a:sysClr val="windowText" lastClr="000000"/>
          </a:solidFill>
        </a:defRPr>
      </a:pPr>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6496062992126"/>
          <c:y val="0"/>
          <c:w val="0.441683289588801"/>
          <c:h val="0.949013987580821"/>
        </c:manualLayout>
      </c:layout>
      <c:barChart>
        <c:barDir val="bar"/>
        <c:grouping val="clustered"/>
        <c:varyColors val="0"/>
        <c:ser>
          <c:idx val="0"/>
          <c:order val="0"/>
          <c:tx>
            <c:strRef>
              <c:f>Sheet1!$B$1</c:f>
              <c:strCache>
                <c:ptCount val="1"/>
                <c:pt idx="0">
                  <c:v>1</c:v>
                </c:pt>
              </c:strCache>
            </c:strRef>
          </c:tx>
          <c:spPr>
            <a:solidFill>
              <a:srgbClr val="0F6FC6"/>
            </a:solidFill>
            <a:ln>
              <a:noFill/>
            </a:ln>
            <a:effectLst/>
          </c:spPr>
          <c:invertIfNegative val="0"/>
          <c:dPt>
            <c:idx val="0"/>
            <c:invertIfNegative val="0"/>
            <c:bubble3D val="0"/>
            <c:spPr>
              <a:solidFill>
                <a:srgbClr val="0F6FC6"/>
              </a:solidFill>
              <a:ln>
                <a:noFill/>
              </a:ln>
              <a:effectLst/>
            </c:spPr>
          </c:dPt>
          <c:dPt>
            <c:idx val="1"/>
            <c:invertIfNegative val="0"/>
            <c:bubble3D val="0"/>
            <c:spPr>
              <a:solidFill>
                <a:srgbClr val="0F6FC6"/>
              </a:solidFill>
              <a:ln>
                <a:noFill/>
              </a:ln>
              <a:effectLst/>
            </c:spPr>
          </c:dPt>
          <c:dPt>
            <c:idx val="2"/>
            <c:invertIfNegative val="0"/>
            <c:bubble3D val="0"/>
            <c:spPr>
              <a:solidFill>
                <a:srgbClr val="0F6FC6"/>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ysClr val="windowText" lastClr="000000">
                          <a:shade val="95000"/>
                          <a:satMod val="105000"/>
                        </a:sysClr>
                      </a:solidFill>
                      <a:prstDash val="solid"/>
                      <a:round/>
                    </a:ln>
                    <a:effectLst/>
                  </c:spPr>
                </c15:leaderLines>
              </c:ext>
            </c:extLst>
          </c:dLbls>
          <c:cat>
            <c:strRef>
              <c:f>Sheet1!$A$2:$A$8</c:f>
              <c:strCache>
                <c:ptCount val="7"/>
                <c:pt idx="0">
                  <c:v>其他</c:v>
                </c:pt>
                <c:pt idx="1">
                  <c:v>学校教授的知识与单位需求不匹配</c:v>
                </c:pt>
                <c:pt idx="2">
                  <c:v>自身知识没学好，达不到单位要求</c:v>
                </c:pt>
                <c:pt idx="3">
                  <c:v>学校所在较偏僻，企事业单位较少</c:v>
                </c:pt>
                <c:pt idx="4">
                  <c:v>学校知名度低，不被单位认可</c:v>
                </c:pt>
                <c:pt idx="5">
                  <c:v>受大环境影响，专业相关行业发展不景气</c:v>
                </c:pt>
                <c:pt idx="6">
                  <c:v>本专业就业面窄，市场需求较少</c:v>
                </c:pt>
              </c:strCache>
            </c:strRef>
          </c:cat>
          <c:val>
            <c:numRef>
              <c:f>Sheet1!$B$2:$B$8</c:f>
              <c:numCache>
                <c:formatCode>0.00%</c:formatCode>
                <c:ptCount val="7"/>
                <c:pt idx="0">
                  <c:v>0.1366</c:v>
                </c:pt>
                <c:pt idx="1">
                  <c:v>0.1463</c:v>
                </c:pt>
                <c:pt idx="2">
                  <c:v>0.1659</c:v>
                </c:pt>
                <c:pt idx="3">
                  <c:v>0.1707</c:v>
                </c:pt>
                <c:pt idx="4">
                  <c:v>0.278</c:v>
                </c:pt>
                <c:pt idx="5">
                  <c:v>0.3805</c:v>
                </c:pt>
                <c:pt idx="6">
                  <c:v>0.439</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noFill/>
            <a:prstDash val="solid"/>
            <a:round/>
          </a:ln>
          <a:effectLst/>
        </c:spPr>
        <c:txPr>
          <a:bodyPr rot="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972182824"/>
        <c:crosses val="autoZero"/>
        <c:auto val="1"/>
        <c:lblAlgn val="ctr"/>
        <c:lblOffset val="100"/>
        <c:noMultiLvlLbl val="0"/>
      </c:catAx>
      <c:valAx>
        <c:axId val="972182824"/>
        <c:scaling>
          <c:orientation val="minMax"/>
          <c:max val="0.45"/>
          <c:min val="0"/>
        </c:scaling>
        <c:delete val="0"/>
        <c:axPos val="b"/>
        <c:numFmt formatCode="0.00%" sourceLinked="1"/>
        <c:majorTickMark val="out"/>
        <c:minorTickMark val="none"/>
        <c:tickLblPos val="nextTo"/>
        <c:spPr>
          <a:noFill/>
          <a:ln w="9525" cap="flat" cmpd="sng" algn="ctr">
            <a:solidFill>
              <a:sysClr val="windowText" lastClr="000000">
                <a:tint val="75000"/>
                <a:shade val="95000"/>
                <a:satMod val="105000"/>
              </a:sysClr>
            </a:solidFill>
            <a:prstDash val="solid"/>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972182432"/>
        <c:crosses val="autoZero"/>
        <c:crossBetween val="between"/>
        <c:majorUnit val="0.2"/>
      </c:valAx>
      <c:spPr>
        <a:solidFill>
          <a:sysClr val="window" lastClr="FFFFFF"/>
        </a:solidFill>
        <a:ln>
          <a:noFill/>
        </a:ln>
        <a:effectLst/>
      </c:spPr>
    </c:plotArea>
    <c:plotVisOnly val="1"/>
    <c:dispBlanksAs val="gap"/>
    <c:showDLblsOverMax val="0"/>
  </c:chart>
  <c:spPr>
    <a:solidFill>
      <a:sysClr val="window" lastClr="FFFFFF"/>
    </a:solidFill>
    <a:ln w="9525" cap="flat" cmpd="sng" algn="ctr">
      <a:noFill/>
      <a:prstDash val="solid"/>
      <a:round/>
    </a:ln>
    <a:effectLst/>
  </c:spPr>
  <c:txPr>
    <a:bodyPr/>
    <a:lstStyle/>
    <a:p>
      <a:pPr>
        <a:defRPr lang="zh-CN"/>
      </a:pPr>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818383423990785"/>
          <c:y val="0.0133081535539765"/>
          <c:w val="0.84408756197142"/>
          <c:h val="0.769274694321746"/>
        </c:manualLayout>
      </c:layout>
      <c:barChart>
        <c:barDir val="col"/>
        <c:grouping val="clustered"/>
        <c:varyColors val="0"/>
        <c:ser>
          <c:idx val="0"/>
          <c:order val="0"/>
          <c:tx>
            <c:strRef>
              <c:f>Sheet1!$B$1</c:f>
              <c:strCache>
                <c:ptCount val="1"/>
                <c:pt idx="0">
                  <c:v>本校2020届专科毕业生</c:v>
                </c:pt>
              </c:strCache>
            </c:strRef>
          </c:tx>
          <c:invertIfNegative val="1"/>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c:f>
              <c:strCache>
                <c:ptCount val="1"/>
                <c:pt idx="0">
                  <c:v>月均收入</c:v>
                </c:pt>
              </c:strCache>
            </c:strRef>
          </c:cat>
          <c:val>
            <c:numRef>
              <c:f>Sheet1!$B$2</c:f>
              <c:numCache>
                <c:formatCode>0.00</c:formatCode>
                <c:ptCount val="1"/>
                <c:pt idx="0">
                  <c:v>3927.3</c:v>
                </c:pt>
              </c:numCache>
            </c:numRef>
          </c:val>
        </c:ser>
        <c:ser>
          <c:idx val="1"/>
          <c:order val="1"/>
          <c:tx>
            <c:strRef>
              <c:f>Sheet1!$C$1</c:f>
              <c:strCache>
                <c:ptCount val="1"/>
                <c:pt idx="0">
                  <c:v>全国高校2021届专科毕业生</c:v>
                </c:pt>
              </c:strCache>
            </c:strRef>
          </c:tx>
          <c:invertIfNegative val="1"/>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c:f>
              <c:strCache>
                <c:ptCount val="1"/>
                <c:pt idx="0">
                  <c:v>月均收入</c:v>
                </c:pt>
              </c:strCache>
            </c:strRef>
          </c:cat>
          <c:val>
            <c:numRef>
              <c:f>Sheet1!$C$2</c:f>
              <c:numCache>
                <c:formatCode>0.00</c:formatCode>
                <c:ptCount val="1"/>
                <c:pt idx="0">
                  <c:v>3915.91</c:v>
                </c:pt>
              </c:numCache>
            </c:numRef>
          </c:val>
        </c:ser>
        <c:ser>
          <c:idx val="2"/>
          <c:order val="2"/>
          <c:tx>
            <c:strRef>
              <c:f>Sheet1!$D$1</c:f>
              <c:strCache>
                <c:ptCount val="1"/>
                <c:pt idx="0">
                  <c:v>本校2022届专科毕业生</c:v>
                </c:pt>
              </c:strCache>
            </c:strRef>
          </c:tx>
          <c:invertIfNegative val="0"/>
          <c:dPt>
            <c:idx val="0"/>
            <c:invertIfNegative val="0"/>
            <c:bubble3D val="0"/>
            <c:spPr>
              <a:solidFill>
                <a:srgbClr val="1F497D">
                  <a:lumMod val="60000"/>
                  <a:lumOff val="40000"/>
                </a:srgbClr>
              </a:solidFill>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c:f>
              <c:strCache>
                <c:ptCount val="1"/>
                <c:pt idx="0">
                  <c:v>月均收入</c:v>
                </c:pt>
              </c:strCache>
            </c:strRef>
          </c:cat>
          <c:val>
            <c:numRef>
              <c:f>Sheet1!$D$2</c:f>
              <c:numCache>
                <c:formatCode>General</c:formatCode>
                <c:ptCount val="1"/>
                <c:pt idx="0">
                  <c:v>4490</c:v>
                </c:pt>
              </c:numCache>
            </c:numRef>
          </c:val>
        </c:ser>
        <c:ser>
          <c:idx val="3"/>
          <c:order val="3"/>
          <c:tx>
            <c:strRef>
              <c:f>Sheet1!$E$1</c:f>
              <c:strCache>
                <c:ptCount val="1"/>
                <c:pt idx="0">
                  <c:v>全国高校2022届专科毕业生</c:v>
                </c:pt>
              </c:strCache>
            </c:strRef>
          </c:tx>
          <c:spPr>
            <a:solidFill>
              <a:srgbClr val="1F497D">
                <a:lumMod val="40000"/>
                <a:lumOff val="60000"/>
              </a:srgb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c:f>
              <c:strCache>
                <c:ptCount val="1"/>
                <c:pt idx="0">
                  <c:v>月均收入</c:v>
                </c:pt>
              </c:strCache>
            </c:strRef>
          </c:cat>
          <c:val>
            <c:numRef>
              <c:f>Sheet1!$E$2</c:f>
              <c:numCache>
                <c:formatCode>General</c:formatCode>
                <c:ptCount val="1"/>
                <c:pt idx="0">
                  <c:v>4322</c:v>
                </c:pt>
              </c:numCache>
            </c:numRef>
          </c:val>
        </c:ser>
        <c:dLbls>
          <c:showLegendKey val="0"/>
          <c:showVal val="1"/>
          <c:showCatName val="0"/>
          <c:showSerName val="0"/>
          <c:showPercent val="0"/>
          <c:showBubbleSize val="0"/>
        </c:dLbls>
        <c:gapWidth val="269"/>
        <c:overlap val="-15"/>
        <c:axId val="608998768"/>
        <c:axId val="608999160"/>
      </c:barChart>
      <c:catAx>
        <c:axId val="608998768"/>
        <c:scaling>
          <c:orientation val="minMax"/>
        </c:scaling>
        <c:delete val="0"/>
        <c:axPos val="b"/>
        <c:numFmt formatCode="General" sourceLinked="1"/>
        <c:majorTickMark val="none"/>
        <c:minorTickMark val="none"/>
        <c:tickLblPos val="nextTo"/>
        <c:spPr>
          <a:noFill/>
          <a:ln w="12700" cap="flat" cmpd="sng" algn="ctr">
            <a:solidFill>
              <a:sysClr val="window" lastClr="FFFFFF">
                <a:lumMod val="50000"/>
              </a:sysClr>
            </a:solidFill>
            <a:prstDash val="solid"/>
            <a:round/>
          </a:ln>
        </c:spPr>
        <c:txPr>
          <a:bodyPr rot="0" spcFirstLastPara="1" vertOverflow="ellipsis" vert="horz" wrap="square" anchor="ctr" anchorCtr="1"/>
          <a:lstStyle/>
          <a:p>
            <a:pPr>
              <a:defRPr lang="zh-CN" sz="900" b="0" i="0" u="none" strike="noStrike" kern="1200" baseline="0">
                <a:solidFill>
                  <a:sysClr val="window" lastClr="FFFFFF"/>
                </a:solidFill>
                <a:latin typeface="+mn-lt"/>
                <a:ea typeface="+mn-ea"/>
                <a:cs typeface="+mn-cs"/>
              </a:defRPr>
            </a:pPr>
          </a:p>
        </c:txPr>
        <c:crossAx val="608999160"/>
        <c:crosses val="autoZero"/>
        <c:auto val="1"/>
        <c:lblAlgn val="ctr"/>
        <c:lblOffset val="100"/>
        <c:noMultiLvlLbl val="0"/>
      </c:catAx>
      <c:valAx>
        <c:axId val="608999160"/>
        <c:scaling>
          <c:orientation val="minMax"/>
          <c:max val="5431.5"/>
          <c:min val="0"/>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608998768"/>
        <c:crosses val="autoZero"/>
        <c:crossBetween val="between"/>
        <c:majorUnit val="1000"/>
      </c:valAx>
      <c:spPr>
        <a:noFill/>
        <a:ln>
          <a:noFill/>
        </a:ln>
      </c:spPr>
    </c:plotArea>
    <c:legend>
      <c:legendPos val="b"/>
      <c:layout>
        <c:manualLayout>
          <c:xMode val="edge"/>
          <c:yMode val="edge"/>
          <c:x val="0.0668123170948601"/>
          <c:y val="0.809736049375274"/>
          <c:w val="0.82713827224369"/>
          <c:h val="0.127215087756003"/>
        </c:manualLayout>
      </c:layout>
      <c:overlay val="0"/>
      <c:spPr>
        <a:noFill/>
        <a:ln>
          <a:noFill/>
        </a:ln>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gap"/>
    <c:showDLblsOverMax val="0"/>
  </c:chart>
  <c:spPr>
    <a:solidFill>
      <a:sysClr val="window" lastClr="FFFFFF"/>
    </a:solidFill>
    <a:ln w="9525" cap="flat" cmpd="sng" algn="ctr">
      <a:noFill/>
      <a:prstDash val="solid"/>
      <a:round/>
    </a:ln>
  </c:spPr>
  <c:txPr>
    <a:bodyPr/>
    <a:lstStyle/>
    <a:p>
      <a:pPr>
        <a:defRPr lang="zh-CN">
          <a:solidFill>
            <a:sysClr val="windowText" lastClr="000000"/>
          </a:solidFill>
        </a:defRPr>
      </a:pPr>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38962290730608"/>
          <c:y val="0.0676640419947507"/>
          <c:w val="0.878482929746776"/>
          <c:h val="0.802582819641183"/>
        </c:manualLayout>
      </c:layout>
      <c:lineChart>
        <c:grouping val="standard"/>
        <c:varyColors val="0"/>
        <c:ser>
          <c:idx val="0"/>
          <c:order val="0"/>
          <c:tx>
            <c:strRef>
              <c:f>Sheet1!$B$1</c:f>
              <c:strCache>
                <c:ptCount val="1"/>
                <c:pt idx="0">
                  <c:v>占比</c:v>
                </c:pt>
              </c:strCache>
            </c:strRef>
          </c:tx>
          <c:spPr>
            <a:ln w="28575" cap="rnd">
              <a:solidFill>
                <a:srgbClr val="0F6FC6"/>
              </a:solidFill>
              <a:round/>
            </a:ln>
            <a:effectLst/>
          </c:spPr>
          <c:marker>
            <c:symbol val="diamond"/>
            <c:size val="5"/>
            <c:spPr>
              <a:solidFill>
                <a:sysClr val="window" lastClr="FFFFFF"/>
              </a:solidFill>
              <a:ln w="9525">
                <a:solidFill>
                  <a:srgbClr val="0F6FC6"/>
                </a:solidFill>
              </a:ln>
              <a:effectLst/>
            </c:spPr>
          </c:marker>
          <c:dPt>
            <c:idx val="4"/>
            <c:marker>
              <c:symbol val="diamond"/>
              <c:size val="5"/>
              <c:spPr>
                <a:solidFill>
                  <a:sysClr val="window" lastClr="FFFFFF"/>
                </a:solidFill>
                <a:ln w="9525">
                  <a:solidFill>
                    <a:srgbClr val="0F6FC6"/>
                  </a:solidFill>
                </a:ln>
                <a:effectLst/>
              </c:spPr>
            </c:marker>
            <c:bubble3D val="0"/>
            <c:spPr>
              <a:ln w="28575" cap="rnd">
                <a:solidFill>
                  <a:srgbClr val="0F6FC6"/>
                </a:solidFill>
                <a:round/>
              </a:ln>
              <a:effectLst/>
            </c:spPr>
          </c:dPt>
          <c:dLbls>
            <c:dLbl>
              <c:idx val="0"/>
              <c:layout>
                <c:manualLayout>
                  <c:x val="-0.0569805892907455"/>
                  <c:y val="-0.084658577513876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601946508098917"/>
                  <c:y val="-0.084658577513876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244198288773235"/>
                  <c:y val="-0.035478249645023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401067663152276"/>
                  <c:y val="-0.068265134890925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ysClr val="windowText" lastClr="000000">
                          <a:lumMod val="35000"/>
                          <a:lumOff val="65000"/>
                        </a:sysClr>
                      </a:solidFill>
                      <a:round/>
                    </a:ln>
                    <a:effectLst/>
                  </c:spPr>
                </c15:leaderLines>
              </c:ext>
            </c:extLst>
          </c:dLbls>
          <c:cat>
            <c:strRef>
              <c:f>Sheet1!$A$2:$A$7</c:f>
              <c:strCache>
                <c:ptCount val="6"/>
                <c:pt idx="0">
                  <c:v>2000元以下</c:v>
                </c:pt>
                <c:pt idx="1">
                  <c:v>2000-3500元</c:v>
                </c:pt>
                <c:pt idx="2">
                  <c:v>3500-5000元</c:v>
                </c:pt>
                <c:pt idx="3">
                  <c:v>5000-6500元</c:v>
                </c:pt>
                <c:pt idx="4">
                  <c:v>6500-8000元</c:v>
                </c:pt>
                <c:pt idx="5">
                  <c:v>8000元以上</c:v>
                </c:pt>
              </c:strCache>
            </c:strRef>
          </c:cat>
          <c:val>
            <c:numRef>
              <c:f>Sheet1!$B$2:$B$7</c:f>
              <c:numCache>
                <c:formatCode>0.00%</c:formatCode>
                <c:ptCount val="6"/>
                <c:pt idx="0">
                  <c:v>0.0451</c:v>
                </c:pt>
                <c:pt idx="1">
                  <c:v>0.2694</c:v>
                </c:pt>
                <c:pt idx="2">
                  <c:v>0.3568</c:v>
                </c:pt>
                <c:pt idx="3">
                  <c:v>0.2102</c:v>
                </c:pt>
                <c:pt idx="4">
                  <c:v>0.0437</c:v>
                </c:pt>
                <c:pt idx="5">
                  <c:v>0.0748</c:v>
                </c:pt>
              </c:numCache>
            </c:numRef>
          </c:val>
          <c:smooth val="1"/>
        </c:ser>
        <c:dLbls>
          <c:showLegendKey val="0"/>
          <c:showVal val="1"/>
          <c:showCatName val="0"/>
          <c:showSerName val="0"/>
          <c:showPercent val="0"/>
          <c:showBubbleSize val="0"/>
        </c:dLbls>
        <c:marker val="1"/>
        <c:smooth val="1"/>
        <c:axId val="605060192"/>
        <c:axId val="1087560512"/>
      </c:lineChart>
      <c:catAx>
        <c:axId val="605060192"/>
        <c:scaling>
          <c:orientation val="minMax"/>
        </c:scaling>
        <c:delete val="0"/>
        <c:axPos val="b"/>
        <c:numFmt formatCode="General" sourceLinked="1"/>
        <c:majorTickMark val="in"/>
        <c:minorTickMark val="none"/>
        <c:tickLblPos val="nextTo"/>
        <c:spPr>
          <a:noFill/>
          <a:ln w="19050" cap="flat" cmpd="sng" algn="ctr">
            <a:solidFill>
              <a:srgbClr val="0F6FC6"/>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1087560512"/>
        <c:crosses val="autoZero"/>
        <c:auto val="1"/>
        <c:lblAlgn val="ctr"/>
        <c:lblOffset val="100"/>
        <c:noMultiLvlLbl val="0"/>
      </c:catAx>
      <c:valAx>
        <c:axId val="1087560512"/>
        <c:scaling>
          <c:orientation val="minMax"/>
          <c:max val="1"/>
        </c:scaling>
        <c:delete val="0"/>
        <c:axPos val="l"/>
        <c:numFmt formatCode="0.00%" sourceLinked="0"/>
        <c:majorTickMark val="in"/>
        <c:minorTickMark val="none"/>
        <c:tickLblPos val="nextTo"/>
        <c:spPr>
          <a:noFill/>
          <a:ln w="19050">
            <a:solidFill>
              <a:srgbClr val="0F6FC6"/>
            </a:solid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605060192"/>
        <c:crosses val="autoZero"/>
        <c:crossBetween val="between"/>
        <c:majorUnit val="0.2"/>
      </c:valAx>
      <c:spPr>
        <a:noFill/>
        <a:ln>
          <a:noFill/>
        </a:ln>
        <a:effectLst/>
      </c:spPr>
    </c:plotArea>
    <c:plotVisOnly val="1"/>
    <c:dispBlanksAs val="gap"/>
    <c:showDLblsOverMax val="0"/>
  </c:chart>
  <c:spPr>
    <a:solidFill>
      <a:sysClr val="window" lastClr="FFFFFF"/>
    </a:solidFill>
    <a:ln w="9525" cap="flat" cmpd="sng" algn="ctr">
      <a:noFill/>
      <a:round/>
    </a:ln>
    <a:effectLst/>
  </c:spPr>
  <c:txPr>
    <a:bodyPr/>
    <a:lstStyle/>
    <a:p>
      <a:pPr>
        <a:defRPr lang="zh-CN">
          <a:solidFill>
            <a:sysClr val="windowText" lastClr="000000"/>
          </a:solidFill>
        </a:defRPr>
      </a:pPr>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8599945949166"/>
          <c:y val="0.0163854801168723"/>
          <c:w val="0.617121973677341"/>
          <c:h val="0.949013987580821"/>
        </c:manualLayout>
      </c:layout>
      <c:barChart>
        <c:barDir val="bar"/>
        <c:grouping val="clustered"/>
        <c:varyColors val="0"/>
        <c:ser>
          <c:idx val="0"/>
          <c:order val="0"/>
          <c:tx>
            <c:strRef>
              <c:f>Sheet1!$B$1</c:f>
              <c:strCache>
                <c:ptCount val="1"/>
                <c:pt idx="0">
                  <c:v>薪酬</c:v>
                </c:pt>
              </c:strCache>
            </c:strRef>
          </c:tx>
          <c:spPr>
            <a:solidFill>
              <a:srgbClr val="0F6FC6"/>
            </a:solidFill>
            <a:ln>
              <a:noFill/>
            </a:ln>
          </c:spPr>
          <c:invertIfNegative val="0"/>
          <c:dPt>
            <c:idx val="0"/>
            <c:invertIfNegative val="0"/>
            <c:bubble3D val="0"/>
          </c:dPt>
          <c:dPt>
            <c:idx val="1"/>
            <c:invertIfNegative val="0"/>
            <c:bubble3D val="0"/>
          </c:dPt>
          <c:dPt>
            <c:idx val="2"/>
            <c:invertIfNegative val="0"/>
            <c:bubble3D val="0"/>
          </c:dPt>
          <c:dPt>
            <c:idx val="4"/>
            <c:invertIfNegative val="0"/>
            <c:bubble3D val="0"/>
          </c:dPt>
          <c:dPt>
            <c:idx val="6"/>
            <c:invertIfNegative val="0"/>
            <c:bubble3D val="0"/>
            <c:spPr>
              <a:solidFill>
                <a:srgbClr val="4F81BD">
                  <a:lumMod val="60000"/>
                  <a:lumOff val="40000"/>
                </a:srgbClr>
              </a:solidFill>
              <a:ln>
                <a:noFill/>
              </a:ln>
            </c:spPr>
          </c:dPt>
          <c:dPt>
            <c:idx val="11"/>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Sheet1!$A$2:$A$13</c:f>
              <c:strCache>
                <c:ptCount val="12"/>
                <c:pt idx="0">
                  <c:v>*传媒与音乐学院</c:v>
                </c:pt>
                <c:pt idx="1">
                  <c:v>国际护理学院</c:v>
                </c:pt>
                <c:pt idx="2">
                  <c:v>健康科学学院</c:v>
                </c:pt>
                <c:pt idx="3">
                  <c:v>财经学院</c:v>
                </c:pt>
                <c:pt idx="4">
                  <c:v>设计学院</c:v>
                </c:pt>
                <c:pt idx="5">
                  <c:v>化学与材料工程学院</c:v>
                </c:pt>
                <c:pt idx="6">
                  <c:v>总体水平</c:v>
                </c:pt>
                <c:pt idx="7">
                  <c:v>信息工程学院</c:v>
                </c:pt>
                <c:pt idx="8">
                  <c:v>机电工程学院</c:v>
                </c:pt>
                <c:pt idx="9">
                  <c:v>城建学院</c:v>
                </c:pt>
                <c:pt idx="10">
                  <c:v>临床医药学院</c:v>
                </c:pt>
                <c:pt idx="11">
                  <c:v>海事学院</c:v>
                </c:pt>
              </c:strCache>
            </c:strRef>
          </c:cat>
          <c:val>
            <c:numRef>
              <c:f>Sheet1!$B$2:$B$13</c:f>
              <c:numCache>
                <c:formatCode>General</c:formatCode>
                <c:ptCount val="12"/>
                <c:pt idx="0">
                  <c:v>3916.67</c:v>
                </c:pt>
                <c:pt idx="1">
                  <c:v>3557.14</c:v>
                </c:pt>
                <c:pt idx="2">
                  <c:v>3664.29</c:v>
                </c:pt>
                <c:pt idx="3">
                  <c:v>4070.73</c:v>
                </c:pt>
                <c:pt idx="4">
                  <c:v>4232.26</c:v>
                </c:pt>
                <c:pt idx="5">
                  <c:v>4379.51</c:v>
                </c:pt>
                <c:pt idx="6">
                  <c:v>4490.2</c:v>
                </c:pt>
                <c:pt idx="7">
                  <c:v>4815.63</c:v>
                </c:pt>
                <c:pt idx="8">
                  <c:v>4975.43</c:v>
                </c:pt>
                <c:pt idx="9">
                  <c:v>5223.64</c:v>
                </c:pt>
                <c:pt idx="10">
                  <c:v>5254.94</c:v>
                </c:pt>
                <c:pt idx="11">
                  <c:v>5955.56</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ysClr val="windowText" lastClr="000000">
                <a:tint val="75000"/>
                <a:shade val="95000"/>
                <a:satMod val="105000"/>
              </a:sysClr>
            </a:solidFill>
            <a:prstDash val="solid"/>
            <a:round/>
          </a:ln>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972182824"/>
        <c:crosses val="autoZero"/>
        <c:auto val="1"/>
        <c:lblAlgn val="ctr"/>
        <c:lblOffset val="100"/>
        <c:noMultiLvlLbl val="0"/>
      </c:catAx>
      <c:valAx>
        <c:axId val="972182824"/>
        <c:scaling>
          <c:orientation val="minMax"/>
          <c:min val="0"/>
        </c:scaling>
        <c:delete val="0"/>
        <c:axPos val="b"/>
        <c:numFmt formatCode="0.00_);[Red]\(0.00\)" sourceLinked="0"/>
        <c:majorTickMark val="in"/>
        <c:minorTickMark val="none"/>
        <c:tickLblPos val="nextTo"/>
        <c:spPr>
          <a:noFill/>
          <a:ln w="9525" cap="flat" cmpd="sng" algn="ctr">
            <a:solidFill>
              <a:sysClr val="windowText" lastClr="000000">
                <a:tint val="75000"/>
                <a:shade val="95000"/>
                <a:satMod val="105000"/>
              </a:sysClr>
            </a:solidFill>
            <a:prstDash val="solid"/>
            <a:round/>
          </a:ln>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972182432"/>
        <c:crosses val="autoZero"/>
        <c:crossBetween val="between"/>
        <c:majorUnit val="2000"/>
      </c:valAx>
      <c:spPr>
        <a:solidFill>
          <a:sysClr val="window" lastClr="FFFFFF"/>
        </a:solidFill>
        <a:ln>
          <a:noFill/>
        </a:ln>
      </c:spPr>
    </c:plotArea>
    <c:plotVisOnly val="1"/>
    <c:dispBlanksAs val="gap"/>
    <c:showDLblsOverMax val="0"/>
  </c:chart>
  <c:spPr>
    <a:solidFill>
      <a:sysClr val="window" lastClr="FFFFFF"/>
    </a:solidFill>
    <a:ln w="9525" cap="flat" cmpd="sng" algn="ctr">
      <a:noFill/>
      <a:prstDash val="solid"/>
      <a:round/>
    </a:ln>
  </c:spPr>
  <c:txPr>
    <a:bodyPr/>
    <a:lstStyle/>
    <a:p>
      <a:pPr>
        <a:defRPr lang="zh-CN"/>
      </a:pPr>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5319966447493"/>
          <c:y val="0.133353113469512"/>
          <c:w val="0.39121600779284"/>
          <c:h val="0.733293773060976"/>
        </c:manualLayout>
      </c:layout>
      <c:pieChart>
        <c:varyColors val="1"/>
        <c:ser>
          <c:idx val="0"/>
          <c:order val="0"/>
          <c:tx>
            <c:strRef>
              <c:f>Sheet1!$B$1</c:f>
              <c:strCache>
                <c:ptCount val="1"/>
                <c:pt idx="0">
                  <c:v>占比</c:v>
                </c:pt>
              </c:strCache>
            </c:strRef>
          </c:tx>
          <c:explosion val="0"/>
          <c:dPt>
            <c:idx val="0"/>
            <c:bubble3D val="0"/>
            <c:spPr>
              <a:solidFill>
                <a:srgbClr val="0F6FC6"/>
              </a:solidFill>
              <a:ln w="19050">
                <a:solidFill>
                  <a:sysClr val="window" lastClr="FFFFFF"/>
                </a:solidFill>
              </a:ln>
              <a:effectLst/>
            </c:spPr>
          </c:dPt>
          <c:dPt>
            <c:idx val="1"/>
            <c:bubble3D val="0"/>
            <c:spPr>
              <a:solidFill>
                <a:srgbClr val="009DD9"/>
              </a:solidFill>
              <a:ln w="19050">
                <a:solidFill>
                  <a:sysClr val="window" lastClr="FFFFFF"/>
                </a:solidFill>
              </a:ln>
              <a:effectLst/>
            </c:spPr>
          </c:dPt>
          <c:dPt>
            <c:idx val="2"/>
            <c:bubble3D val="0"/>
            <c:spPr>
              <a:solidFill>
                <a:srgbClr val="1F497D">
                  <a:lumMod val="40000"/>
                  <a:lumOff val="60000"/>
                </a:srgbClr>
              </a:solidFill>
              <a:ln w="19050">
                <a:solidFill>
                  <a:sysClr val="window" lastClr="FFFFFF"/>
                </a:solidFill>
              </a:ln>
              <a:effectLst/>
            </c:spPr>
          </c:dPt>
          <c:dPt>
            <c:idx val="3"/>
            <c:bubble3D val="0"/>
            <c:spPr>
              <a:solidFill>
                <a:srgbClr val="4F81BD">
                  <a:lumMod val="60000"/>
                  <a:lumOff val="40000"/>
                </a:srgbClr>
              </a:solidFill>
              <a:ln w="19050">
                <a:solidFill>
                  <a:sysClr val="window" lastClr="FFFFFF"/>
                </a:solidFill>
              </a:ln>
              <a:effectLst/>
            </c:spPr>
          </c:dPt>
          <c:dPt>
            <c:idx val="4"/>
            <c:bubble3D val="0"/>
            <c:spPr>
              <a:solidFill>
                <a:srgbClr val="4F81BD">
                  <a:lumMod val="40000"/>
                  <a:lumOff val="60000"/>
                </a:srgbClr>
              </a:solidFill>
              <a:ln w="19050">
                <a:solidFill>
                  <a:sysClr val="window" lastClr="FFFFFF"/>
                </a:solidFill>
              </a:ln>
              <a:effectLst/>
            </c:spPr>
          </c:dPt>
          <c:dLbls>
            <c:dLbl>
              <c:idx val="0"/>
              <c:layout>
                <c:manualLayout>
                  <c:x val="0.03237911627026"/>
                  <c:y val="0.100639358282462"/>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0130530075493141"/>
                  <c:y val="-2.94906956855112e-6"/>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0366814484727871"/>
                  <c:y val="-0.045920022192348"/>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40205286839145"/>
                      <c:h val="0.139889465036383"/>
                    </c:manualLayout>
                  </c15:layout>
                </c:ext>
              </c:extLst>
            </c:dLbl>
            <c:dLbl>
              <c:idx val="3"/>
              <c:layout>
                <c:manualLayout>
                  <c:x val="-0.00687285223367698"/>
                  <c:y val="0.0673912530596597"/>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clip" horzOverflow="clip" vert="horz" wrap="square" lIns="36576" tIns="18288" rIns="36576" bIns="18288" anchor="ctr" anchorCtr="1">
                <a:sp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1"/>
            <c:showCatName val="1"/>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很对口</c:v>
                </c:pt>
                <c:pt idx="1">
                  <c:v>对口</c:v>
                </c:pt>
                <c:pt idx="2">
                  <c:v>基本对口</c:v>
                </c:pt>
                <c:pt idx="3">
                  <c:v>不对口</c:v>
                </c:pt>
                <c:pt idx="4">
                  <c:v>很不对口</c:v>
                </c:pt>
              </c:strCache>
            </c:strRef>
          </c:cat>
          <c:val>
            <c:numRef>
              <c:f>Sheet1!$B$2:$B$6</c:f>
              <c:numCache>
                <c:formatCode>0.00%</c:formatCode>
                <c:ptCount val="5"/>
                <c:pt idx="0">
                  <c:v>0.1764</c:v>
                </c:pt>
                <c:pt idx="1">
                  <c:v>0.2123</c:v>
                </c:pt>
                <c:pt idx="2">
                  <c:v>0.3109</c:v>
                </c:pt>
                <c:pt idx="3">
                  <c:v>0.2317</c:v>
                </c:pt>
                <c:pt idx="4">
                  <c:v>0.0688</c:v>
                </c:pt>
              </c:numCache>
            </c:numRef>
          </c:val>
        </c:ser>
        <c:dLbls>
          <c:showLegendKey val="0"/>
          <c:showVal val="0"/>
          <c:showCatName val="0"/>
          <c:showSerName val="0"/>
          <c:showPercent val="0"/>
          <c:showBubbleSize val="0"/>
          <c:showLeaderLines val="0"/>
        </c:dLbls>
        <c:firstSliceAng val="0"/>
      </c:pieChart>
      <c:spPr>
        <a:noFill/>
        <a:ln>
          <a:noFill/>
        </a:ln>
      </c:spPr>
    </c:plotArea>
    <c:plotVisOnly val="1"/>
    <c:dispBlanksAs val="gap"/>
    <c:showDLblsOverMax val="0"/>
  </c:chart>
  <c:spPr>
    <a:solidFill>
      <a:sysClr val="window" lastClr="FFFFFF"/>
    </a:solidFill>
    <a:ln w="9525" cap="flat" cmpd="sng" algn="ctr">
      <a:solidFill>
        <a:sysClr val="window" lastClr="FFFFFF"/>
      </a:solidFill>
      <a:prstDash val="solid"/>
      <a:round/>
    </a:ln>
  </c:spPr>
  <c:txPr>
    <a:bodyPr/>
    <a:lstStyle/>
    <a:p>
      <a:pPr>
        <a:defRPr lang="zh-CN">
          <a:solidFill>
            <a:sysClr val="windowText" lastClr="000000"/>
          </a:solidFill>
        </a:defRPr>
      </a:pPr>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818383423990785"/>
          <c:y val="0.0816071759766646"/>
          <c:w val="0.84408756197142"/>
          <c:h val="0.65740039454383"/>
        </c:manualLayout>
      </c:layout>
      <c:barChart>
        <c:barDir val="col"/>
        <c:grouping val="clustered"/>
        <c:varyColors val="0"/>
        <c:ser>
          <c:idx val="0"/>
          <c:order val="0"/>
          <c:tx>
            <c:strRef>
              <c:f>Sheet1!$B$1</c:f>
              <c:strCache>
                <c:ptCount val="1"/>
                <c:pt idx="0">
                  <c:v>本校2020届专科毕业生</c:v>
                </c:pt>
              </c:strCache>
            </c:strRef>
          </c:tx>
          <c:invertIfNegative val="1"/>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c:f>
              <c:strCache>
                <c:ptCount val="1"/>
                <c:pt idx="0">
                  <c:v>对口度</c:v>
                </c:pt>
              </c:strCache>
            </c:strRef>
          </c:cat>
          <c:val>
            <c:numRef>
              <c:f>Sheet1!$B$2</c:f>
              <c:numCache>
                <c:formatCode>0.00%</c:formatCode>
                <c:ptCount val="1"/>
                <c:pt idx="0">
                  <c:v>0.642</c:v>
                </c:pt>
              </c:numCache>
            </c:numRef>
          </c:val>
        </c:ser>
        <c:ser>
          <c:idx val="1"/>
          <c:order val="1"/>
          <c:tx>
            <c:strRef>
              <c:f>Sheet1!$C$1</c:f>
              <c:strCache>
                <c:ptCount val="1"/>
                <c:pt idx="0">
                  <c:v>本校2021届专科毕业生</c:v>
                </c:pt>
              </c:strCache>
            </c:strRef>
          </c:tx>
          <c:invertIfNegative val="1"/>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c:f>
              <c:strCache>
                <c:ptCount val="1"/>
                <c:pt idx="0">
                  <c:v>对口度</c:v>
                </c:pt>
              </c:strCache>
            </c:strRef>
          </c:cat>
          <c:val>
            <c:numRef>
              <c:f>Sheet1!$C$2</c:f>
              <c:numCache>
                <c:formatCode>0.00%</c:formatCode>
                <c:ptCount val="1"/>
                <c:pt idx="0">
                  <c:v>0.7514</c:v>
                </c:pt>
              </c:numCache>
            </c:numRef>
          </c:val>
        </c:ser>
        <c:ser>
          <c:idx val="2"/>
          <c:order val="2"/>
          <c:tx>
            <c:strRef>
              <c:f>Sheet1!$D$1</c:f>
              <c:strCache>
                <c:ptCount val="1"/>
                <c:pt idx="0">
                  <c:v>本校2022届专科毕业生</c:v>
                </c:pt>
              </c:strCache>
            </c:strRef>
          </c:tx>
          <c:spPr>
            <a:solidFill>
              <a:srgbClr val="4F81BD">
                <a:lumMod val="60000"/>
                <a:lumOff val="40000"/>
              </a:srgb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c:f>
              <c:strCache>
                <c:ptCount val="1"/>
                <c:pt idx="0">
                  <c:v>对口度</c:v>
                </c:pt>
              </c:strCache>
            </c:strRef>
          </c:cat>
          <c:val>
            <c:numRef>
              <c:f>Sheet1!$D$2</c:f>
              <c:numCache>
                <c:formatCode>0.00%</c:formatCode>
                <c:ptCount val="1"/>
                <c:pt idx="0">
                  <c:v>0.6996</c:v>
                </c:pt>
              </c:numCache>
            </c:numRef>
          </c:val>
        </c:ser>
        <c:ser>
          <c:idx val="3"/>
          <c:order val="3"/>
          <c:tx>
            <c:strRef>
              <c:f>Sheet1!$E$1</c:f>
              <c:strCache>
                <c:ptCount val="1"/>
                <c:pt idx="0">
                  <c:v>全国高校2022届专科毕业生</c:v>
                </c:pt>
              </c:strCache>
            </c:strRef>
          </c:tx>
          <c:spPr>
            <a:solidFill>
              <a:srgbClr val="4F81BD">
                <a:lumMod val="40000"/>
                <a:lumOff val="60000"/>
              </a:srgbClr>
            </a:solidFill>
          </c:spPr>
          <c:invertIfNegative val="0"/>
          <c:dPt>
            <c:idx val="0"/>
            <c:invertIfNegative val="0"/>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c:f>
              <c:strCache>
                <c:ptCount val="1"/>
                <c:pt idx="0">
                  <c:v>对口度</c:v>
                </c:pt>
              </c:strCache>
            </c:strRef>
          </c:cat>
          <c:val>
            <c:numRef>
              <c:f>Sheet1!$E$2</c:f>
              <c:numCache>
                <c:formatCode>0.00%</c:formatCode>
                <c:ptCount val="1"/>
                <c:pt idx="0">
                  <c:v>0.7056</c:v>
                </c:pt>
              </c:numCache>
            </c:numRef>
          </c:val>
        </c:ser>
        <c:dLbls>
          <c:showLegendKey val="0"/>
          <c:showVal val="1"/>
          <c:showCatName val="0"/>
          <c:showSerName val="0"/>
          <c:showPercent val="0"/>
          <c:showBubbleSize val="0"/>
        </c:dLbls>
        <c:gapWidth val="269"/>
        <c:overlap val="-15"/>
        <c:axId val="608998768"/>
        <c:axId val="608999160"/>
      </c:barChart>
      <c:catAx>
        <c:axId val="608998768"/>
        <c:scaling>
          <c:orientation val="minMax"/>
        </c:scaling>
        <c:delete val="0"/>
        <c:axPos val="b"/>
        <c:numFmt formatCode="General" sourceLinked="1"/>
        <c:majorTickMark val="none"/>
        <c:minorTickMark val="none"/>
        <c:tickLblPos val="nextTo"/>
        <c:spPr>
          <a:noFill/>
          <a:ln w="12700" cap="flat" cmpd="sng" algn="ctr">
            <a:solidFill>
              <a:sysClr val="window" lastClr="FFFFFF">
                <a:lumMod val="50000"/>
              </a:sysClr>
            </a:solidFill>
            <a:prstDash val="solid"/>
            <a:round/>
          </a:ln>
        </c:spPr>
        <c:txPr>
          <a:bodyPr rot="0" spcFirstLastPara="1" vertOverflow="ellipsis" vert="horz" wrap="square" anchor="ctr" anchorCtr="1"/>
          <a:lstStyle/>
          <a:p>
            <a:pPr>
              <a:defRPr lang="zh-CN" sz="900" b="0" i="0" u="none" strike="noStrike" kern="1200" baseline="0">
                <a:solidFill>
                  <a:sysClr val="window" lastClr="FFFFFF"/>
                </a:solidFill>
                <a:latin typeface="+mn-lt"/>
                <a:ea typeface="+mn-ea"/>
                <a:cs typeface="+mn-cs"/>
              </a:defRPr>
            </a:pPr>
          </a:p>
        </c:txPr>
        <c:crossAx val="608999160"/>
        <c:crosses val="autoZero"/>
        <c:auto val="1"/>
        <c:lblAlgn val="ctr"/>
        <c:lblOffset val="100"/>
        <c:noMultiLvlLbl val="0"/>
      </c:catAx>
      <c:valAx>
        <c:axId val="608999160"/>
        <c:scaling>
          <c:orientation val="minMax"/>
          <c:max val="1"/>
          <c:min val="0"/>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608998768"/>
        <c:crosses val="autoZero"/>
        <c:crossBetween val="between"/>
        <c:majorUnit val="1000"/>
      </c:valAx>
      <c:spPr>
        <a:noFill/>
        <a:ln>
          <a:noFill/>
        </a:ln>
      </c:spPr>
    </c:plotArea>
    <c:legend>
      <c:legendPos val="b"/>
      <c:layout>
        <c:manualLayout>
          <c:xMode val="edge"/>
          <c:yMode val="edge"/>
          <c:x val="0.0693546023937396"/>
          <c:y val="0.771994522423827"/>
          <c:w val="0.830822866180544"/>
          <c:h val="0.187171516603903"/>
        </c:manualLayout>
      </c:layout>
      <c:overlay val="0"/>
      <c:spPr>
        <a:noFill/>
        <a:ln>
          <a:noFill/>
        </a:ln>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gap"/>
    <c:showDLblsOverMax val="0"/>
  </c:chart>
  <c:spPr>
    <a:solidFill>
      <a:sysClr val="window" lastClr="FFFFFF"/>
    </a:solidFill>
    <a:ln w="9525" cap="flat" cmpd="sng" algn="ctr">
      <a:noFill/>
      <a:prstDash val="solid"/>
      <a:round/>
    </a:ln>
  </c:spPr>
  <c:txPr>
    <a:bodyPr/>
    <a:lstStyle/>
    <a:p>
      <a:pPr>
        <a:defRPr lang="zh-CN">
          <a:solidFill>
            <a:sysClr val="windowText" lastClr="000000"/>
          </a:solidFill>
        </a:defRPr>
      </a:pPr>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98307501036055"/>
          <c:y val="0.0163854801168723"/>
          <c:w val="0.467414283740848"/>
          <c:h val="0.949013987580821"/>
        </c:manualLayout>
      </c:layout>
      <c:barChart>
        <c:barDir val="bar"/>
        <c:grouping val="clustered"/>
        <c:varyColors val="0"/>
        <c:ser>
          <c:idx val="0"/>
          <c:order val="0"/>
          <c:tx>
            <c:strRef>
              <c:f>Sheet1!$B$1</c:f>
              <c:strCache>
                <c:ptCount val="1"/>
                <c:pt idx="0">
                  <c:v>1</c:v>
                </c:pt>
              </c:strCache>
            </c:strRef>
          </c:tx>
          <c:spPr>
            <a:solidFill>
              <a:srgbClr val="0F6FC6"/>
            </a:solidFill>
            <a:ln>
              <a:noFill/>
            </a:ln>
            <a:effectLst/>
          </c:spPr>
          <c:invertIfNegative val="0"/>
          <c:dPt>
            <c:idx val="0"/>
            <c:invertIfNegative val="0"/>
            <c:bubble3D val="0"/>
            <c:spPr>
              <a:solidFill>
                <a:srgbClr val="0F6FC6"/>
              </a:solidFill>
              <a:ln>
                <a:noFill/>
              </a:ln>
              <a:effectLst/>
            </c:spPr>
          </c:dPt>
          <c:dPt>
            <c:idx val="1"/>
            <c:invertIfNegative val="0"/>
            <c:bubble3D val="0"/>
            <c:spPr>
              <a:solidFill>
                <a:srgbClr val="0F6FC6"/>
              </a:solidFill>
              <a:ln>
                <a:noFill/>
              </a:ln>
              <a:effectLst/>
            </c:spPr>
          </c:dPt>
          <c:dPt>
            <c:idx val="2"/>
            <c:invertIfNegative val="0"/>
            <c:bubble3D val="0"/>
            <c:spPr>
              <a:solidFill>
                <a:srgbClr val="0F6FC6"/>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ysClr val="windowText" lastClr="000000">
                          <a:shade val="95000"/>
                          <a:satMod val="105000"/>
                        </a:sysClr>
                      </a:solidFill>
                      <a:prstDash val="solid"/>
                      <a:round/>
                    </a:ln>
                    <a:effectLst/>
                  </c:spPr>
                </c15:leaderLines>
              </c:ext>
            </c:extLst>
          </c:dLbls>
          <c:cat>
            <c:strRef>
              <c:f>Sheet1!$A$2:$A$7</c:f>
              <c:strCache>
                <c:ptCount val="6"/>
                <c:pt idx="0">
                  <c:v>其他</c:v>
                </c:pt>
                <c:pt idx="1">
                  <c:v>不想找对口工作，因为工作环境</c:v>
                </c:pt>
                <c:pt idx="2">
                  <c:v>不想找对口工作，因为收入待遇</c:v>
                </c:pt>
                <c:pt idx="3">
                  <c:v>不想找对口工作，因为个人兴趣</c:v>
                </c:pt>
                <c:pt idx="4">
                  <c:v>想找对口工作，但是不符合要求</c:v>
                </c:pt>
                <c:pt idx="5">
                  <c:v>想找对口工作，但是就业机会太少</c:v>
                </c:pt>
              </c:strCache>
            </c:strRef>
          </c:cat>
          <c:val>
            <c:numRef>
              <c:f>Sheet1!$B$2:$B$7</c:f>
              <c:numCache>
                <c:formatCode>0.00%</c:formatCode>
                <c:ptCount val="6"/>
                <c:pt idx="0">
                  <c:v>0.101</c:v>
                </c:pt>
                <c:pt idx="1">
                  <c:v>0.0909</c:v>
                </c:pt>
                <c:pt idx="2">
                  <c:v>0.1566</c:v>
                </c:pt>
                <c:pt idx="3">
                  <c:v>0.1869</c:v>
                </c:pt>
                <c:pt idx="4">
                  <c:v>0.2071</c:v>
                </c:pt>
                <c:pt idx="5">
                  <c:v>0.2576</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noFill/>
            <a:prstDash val="solid"/>
            <a:round/>
          </a:ln>
          <a:effectLst/>
        </c:spPr>
        <c:txPr>
          <a:bodyPr rot="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972182824"/>
        <c:crosses val="autoZero"/>
        <c:auto val="1"/>
        <c:lblAlgn val="ctr"/>
        <c:lblOffset val="100"/>
        <c:noMultiLvlLbl val="0"/>
      </c:catAx>
      <c:valAx>
        <c:axId val="972182824"/>
        <c:scaling>
          <c:orientation val="minMax"/>
          <c:max val="0.3"/>
          <c:min val="0"/>
        </c:scaling>
        <c:delete val="0"/>
        <c:axPos val="b"/>
        <c:numFmt formatCode="0.00%" sourceLinked="1"/>
        <c:majorTickMark val="out"/>
        <c:minorTickMark val="none"/>
        <c:tickLblPos val="nextTo"/>
        <c:spPr>
          <a:noFill/>
          <a:ln w="9525" cap="flat" cmpd="sng" algn="ctr">
            <a:solidFill>
              <a:sysClr val="windowText" lastClr="000000">
                <a:tint val="75000"/>
                <a:shade val="95000"/>
                <a:satMod val="105000"/>
              </a:sysClr>
            </a:solidFill>
            <a:prstDash val="solid"/>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972182432"/>
        <c:crosses val="autoZero"/>
        <c:crossBetween val="between"/>
        <c:majorUnit val="0.2"/>
      </c:valAx>
      <c:spPr>
        <a:solidFill>
          <a:sysClr val="window" lastClr="FFFFFF"/>
        </a:solidFill>
        <a:ln>
          <a:noFill/>
        </a:ln>
        <a:effectLst/>
      </c:spPr>
    </c:plotArea>
    <c:plotVisOnly val="1"/>
    <c:dispBlanksAs val="gap"/>
    <c:showDLblsOverMax val="0"/>
  </c:chart>
  <c:spPr>
    <a:solidFill>
      <a:sysClr val="window" lastClr="FFFFFF"/>
    </a:solidFill>
    <a:ln w="9525" cap="flat" cmpd="sng" algn="ctr">
      <a:noFill/>
      <a:prstDash val="solid"/>
      <a:round/>
    </a:ln>
    <a:effectLst/>
  </c:spPr>
  <c:txPr>
    <a:bodyPr/>
    <a:lstStyle/>
    <a:p>
      <a:pPr>
        <a:defRPr lang="zh-CN"/>
      </a:pPr>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4554719005898"/>
          <c:y val="0.0247425722616027"/>
          <c:w val="0.718195355352535"/>
          <c:h val="0.544478410786887"/>
        </c:manualLayout>
      </c:layout>
      <c:barChart>
        <c:barDir val="col"/>
        <c:grouping val="clustered"/>
        <c:varyColors val="0"/>
        <c:ser>
          <c:idx val="0"/>
          <c:order val="0"/>
          <c:tx>
            <c:strRef>
              <c:f>Sheet1!$B$1</c:f>
              <c:strCache>
                <c:ptCount val="1"/>
                <c:pt idx="0">
                  <c:v>满意度</c:v>
                </c:pt>
              </c:strCache>
            </c:strRef>
          </c:tx>
          <c:spPr>
            <a:solidFill>
              <a:srgbClr val="0F6FC6"/>
            </a:solidFill>
            <a:ln>
              <a:noFill/>
            </a:ln>
            <a:effectLst/>
          </c:spPr>
          <c:invertIfNegative val="1"/>
          <c:dLbls>
            <c:delete val="1"/>
          </c:dLbls>
          <c:cat>
            <c:strRef>
              <c:f>Sheet1!$A$2:$A$5</c:f>
              <c:strCache>
                <c:ptCount val="4"/>
                <c:pt idx="0">
                  <c:v>工作总体</c:v>
                </c:pt>
                <c:pt idx="1">
                  <c:v>工作内容</c:v>
                </c:pt>
                <c:pt idx="2">
                  <c:v>职业前景</c:v>
                </c:pt>
                <c:pt idx="3">
                  <c:v>工作薪酬</c:v>
                </c:pt>
              </c:strCache>
            </c:strRef>
          </c:cat>
          <c:val>
            <c:numRef>
              <c:f>Sheet1!$B$2:$B$5</c:f>
              <c:numCache>
                <c:formatCode>0.00%</c:formatCode>
                <c:ptCount val="4"/>
                <c:pt idx="0">
                  <c:v>0.9123</c:v>
                </c:pt>
                <c:pt idx="1">
                  <c:v>0.8991</c:v>
                </c:pt>
                <c:pt idx="2">
                  <c:v>0.8694</c:v>
                </c:pt>
                <c:pt idx="3">
                  <c:v>0.8209</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axId val="776122816"/>
        <c:axId val="776123360"/>
      </c:barChart>
      <c:lineChart>
        <c:grouping val="standard"/>
        <c:varyColors val="0"/>
        <c:ser>
          <c:idx val="1"/>
          <c:order val="1"/>
          <c:tx>
            <c:strRef>
              <c:f>Sheet1!$C$1</c:f>
              <c:strCache>
                <c:ptCount val="1"/>
                <c:pt idx="0">
                  <c:v>均值</c:v>
                </c:pt>
              </c:strCache>
            </c:strRef>
          </c:tx>
          <c:spPr>
            <a:ln w="28575" cap="rnd">
              <a:solidFill>
                <a:srgbClr val="7CCA62"/>
              </a:solidFill>
              <a:round/>
            </a:ln>
            <a:effectLst/>
          </c:spPr>
          <c:marker>
            <c:symbol val="diamond"/>
            <c:size val="5"/>
            <c:spPr>
              <a:solidFill>
                <a:srgbClr val="7CCA62"/>
              </a:solidFill>
              <a:ln w="9525">
                <a:solidFill>
                  <a:srgbClr val="7CCA62"/>
                </a:solidFill>
              </a:ln>
              <a:effectLst/>
            </c:spPr>
          </c:marker>
          <c:dLbls>
            <c:delete val="1"/>
          </c:dLbls>
          <c:cat>
            <c:strRef>
              <c:f>Sheet1!$A$2:$A$5</c:f>
              <c:strCache>
                <c:ptCount val="4"/>
                <c:pt idx="0">
                  <c:v>工作总体</c:v>
                </c:pt>
                <c:pt idx="1">
                  <c:v>工作内容</c:v>
                </c:pt>
                <c:pt idx="2">
                  <c:v>职业前景</c:v>
                </c:pt>
                <c:pt idx="3">
                  <c:v>工作薪酬</c:v>
                </c:pt>
              </c:strCache>
            </c:strRef>
          </c:cat>
          <c:val>
            <c:numRef>
              <c:f>Sheet1!$C$2:$C$5</c:f>
              <c:numCache>
                <c:formatCode>0.00_ </c:formatCode>
                <c:ptCount val="4"/>
                <c:pt idx="0">
                  <c:v>3.59</c:v>
                </c:pt>
                <c:pt idx="1">
                  <c:v>3.53</c:v>
                </c:pt>
                <c:pt idx="2">
                  <c:v>3.52</c:v>
                </c:pt>
                <c:pt idx="3">
                  <c:v>3.38</c:v>
                </c:pt>
              </c:numCache>
            </c:numRef>
          </c:val>
          <c:smooth val="1"/>
        </c:ser>
        <c:dLbls>
          <c:showLegendKey val="0"/>
          <c:showVal val="0"/>
          <c:showCatName val="0"/>
          <c:showSerName val="0"/>
          <c:showPercent val="0"/>
          <c:showBubbleSize val="0"/>
        </c:dLbls>
        <c:marker val="1"/>
        <c:smooth val="1"/>
        <c:axId val="776116832"/>
        <c:axId val="776116288"/>
      </c:lineChart>
      <c:catAx>
        <c:axId val="776122816"/>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776123360"/>
        <c:crosses val="autoZero"/>
        <c:auto val="1"/>
        <c:lblAlgn val="ctr"/>
        <c:lblOffset val="100"/>
        <c:noMultiLvlLbl val="0"/>
      </c:catAx>
      <c:valAx>
        <c:axId val="776123360"/>
        <c:scaling>
          <c:orientation val="minMax"/>
          <c:max val="1"/>
          <c:min val="0"/>
        </c:scaling>
        <c:delete val="0"/>
        <c:axPos val="l"/>
        <c:numFmt formatCode="0.00%" sourceLinked="0"/>
        <c:majorTickMark val="in"/>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776122816"/>
        <c:crosses val="autoZero"/>
        <c:crossBetween val="between"/>
        <c:majorUnit val="0.2"/>
      </c:valAx>
      <c:catAx>
        <c:axId val="776116832"/>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776116288"/>
        <c:crosses val="autoZero"/>
        <c:auto val="1"/>
        <c:lblAlgn val="ctr"/>
        <c:lblOffset val="100"/>
        <c:noMultiLvlLbl val="0"/>
      </c:catAx>
      <c:valAx>
        <c:axId val="776116288"/>
        <c:scaling>
          <c:orientation val="minMax"/>
          <c:max val="5"/>
        </c:scaling>
        <c:delete val="0"/>
        <c:axPos val="r"/>
        <c:numFmt formatCode="0.00_ " sourceLinked="1"/>
        <c:majorTickMark val="out"/>
        <c:minorTickMark val="in"/>
        <c:tickLblPos val="nextTo"/>
        <c:spPr>
          <a:noFill/>
          <a:ln>
            <a:solidFill>
              <a:sysClr val="window" lastClr="FFFFFF">
                <a:lumMod val="50000"/>
              </a:sysClr>
            </a:solid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776116832"/>
        <c:crosses val="max"/>
        <c:crossBetween val="between"/>
        <c:majorUnit val="1"/>
        <c:minorUnit val="0.5"/>
      </c:valAx>
      <c:dTable>
        <c:showHorzBorder val="1"/>
        <c:showVertBorder val="1"/>
        <c:showOutline val="1"/>
        <c:showKeys val="1"/>
        <c:spPr>
          <a:noFill/>
          <a:ln w="9525" cap="flat" cmpd="sng" algn="ctr">
            <a:solidFill>
              <a:sysClr val="window" lastClr="FFFFFF">
                <a:lumMod val="50000"/>
              </a:sysClr>
            </a:solidFill>
            <a:round/>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dTable>
      <c:spPr>
        <a:noFill/>
        <a:ln>
          <a:noFill/>
        </a:ln>
        <a:effectLst/>
      </c:spPr>
    </c:plotArea>
    <c:plotVisOnly val="1"/>
    <c:dispBlanksAs val="gap"/>
    <c:showDLblsOverMax val="0"/>
  </c:chart>
  <c:spPr>
    <a:solidFill>
      <a:sysClr val="window" lastClr="FFFFFF"/>
    </a:solidFill>
    <a:ln w="9525" cap="flat" cmpd="sng" algn="ctr">
      <a:solidFill>
        <a:sysClr val="window" lastClr="FFFFFF"/>
      </a:solidFill>
      <a:round/>
    </a:ln>
    <a:effectLst/>
  </c:spPr>
  <c:txPr>
    <a:bodyPr/>
    <a:lstStyle/>
    <a:p>
      <a:pPr>
        <a:defRPr lang="zh-CN">
          <a:solidFill>
            <a:sysClr val="windowText" lastClr="000000"/>
          </a:solidFill>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818383423990785"/>
          <c:y val="0.0779757793433715"/>
          <c:w val="0.84408756197142"/>
          <c:h val="0.744086660220104"/>
        </c:manualLayout>
      </c:layout>
      <c:barChart>
        <c:barDir val="col"/>
        <c:grouping val="clustered"/>
        <c:varyColors val="0"/>
        <c:ser>
          <c:idx val="2"/>
          <c:order val="0"/>
          <c:tx>
            <c:strRef>
              <c:f>Sheet1!$B$1</c:f>
              <c:strCache>
                <c:ptCount val="1"/>
                <c:pt idx="0">
                  <c:v>本校2022届本科毕业生</c:v>
                </c:pt>
              </c:strCache>
            </c:strRef>
          </c:tx>
          <c:spPr>
            <a:solidFill>
              <a:srgbClr val="1F497D">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lumMod val="75000"/>
                        <a:lumOff val="25000"/>
                      </a:sys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ysClr val="windowText" lastClr="000000">
                          <a:lumMod val="35000"/>
                          <a:lumOff val="65000"/>
                        </a:sysClr>
                      </a:solidFill>
                      <a:round/>
                    </a:ln>
                    <a:effectLst/>
                  </c:spPr>
                </c15:leaderLines>
              </c:ext>
            </c:extLst>
          </c:dLbls>
          <c:cat>
            <c:numRef>
              <c:f>Sheet1!$A$2</c:f>
              <c:numCache>
                <c:formatCode>General</c:formatCode>
                <c:ptCount val="1"/>
              </c:numCache>
            </c:numRef>
          </c:cat>
          <c:val>
            <c:numRef>
              <c:f>Sheet1!$B$2</c:f>
              <c:numCache>
                <c:formatCode>0.00%</c:formatCode>
                <c:ptCount val="1"/>
                <c:pt idx="0">
                  <c:v>0.9897</c:v>
                </c:pt>
              </c:numCache>
            </c:numRef>
          </c:val>
        </c:ser>
        <c:ser>
          <c:idx val="3"/>
          <c:order val="1"/>
          <c:tx>
            <c:strRef>
              <c:f>Sheet1!$C$1</c:f>
              <c:strCache>
                <c:ptCount val="1"/>
                <c:pt idx="0">
                  <c:v>全国高校2022届本科毕业生</c:v>
                </c:pt>
              </c:strCache>
            </c:strRef>
          </c:tx>
          <c:spPr>
            <a:solidFill>
              <a:srgbClr val="1F497D">
                <a:lumMod val="40000"/>
                <a:lumOff val="60000"/>
              </a:srgbClr>
            </a:solidFill>
            <a:ln>
              <a:noFill/>
            </a:ln>
            <a:effectLst/>
          </c:spPr>
          <c:invertIfNegative val="0"/>
          <c:dPt>
            <c:idx val="0"/>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lumMod val="75000"/>
                        <a:lumOff val="25000"/>
                      </a:sys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ysClr val="windowText" lastClr="000000">
                          <a:lumMod val="35000"/>
                          <a:lumOff val="65000"/>
                        </a:sysClr>
                      </a:solidFill>
                      <a:round/>
                    </a:ln>
                    <a:effectLst/>
                  </c:spPr>
                </c15:leaderLines>
              </c:ext>
            </c:extLst>
          </c:dLbls>
          <c:cat>
            <c:numRef>
              <c:f>Sheet1!$A$2</c:f>
              <c:numCache>
                <c:formatCode>General</c:formatCode>
                <c:ptCount val="1"/>
              </c:numCache>
            </c:numRef>
          </c:cat>
          <c:val>
            <c:numRef>
              <c:f>Sheet1!$C$2</c:f>
              <c:numCache>
                <c:formatCode>0.00%</c:formatCode>
                <c:ptCount val="1"/>
                <c:pt idx="0">
                  <c:v>0.7958</c:v>
                </c:pt>
              </c:numCache>
            </c:numRef>
          </c:val>
        </c:ser>
        <c:dLbls>
          <c:showLegendKey val="0"/>
          <c:showVal val="1"/>
          <c:showCatName val="0"/>
          <c:showSerName val="0"/>
          <c:showPercent val="0"/>
          <c:showBubbleSize val="0"/>
        </c:dLbls>
        <c:gapWidth val="219"/>
        <c:overlap val="-27"/>
        <c:axId val="608998768"/>
        <c:axId val="608999160"/>
      </c:barChart>
      <c:catAx>
        <c:axId val="608998768"/>
        <c:scaling>
          <c:orientation val="minMax"/>
        </c:scaling>
        <c:delete val="0"/>
        <c:axPos val="b"/>
        <c:numFmt formatCode="General" sourceLinked="1"/>
        <c:majorTickMark val="out"/>
        <c:minorTickMark val="none"/>
        <c:tickLblPos val="nextTo"/>
        <c:spPr>
          <a:noFill/>
          <a:ln w="9525" cap="flat" cmpd="sng" algn="ctr">
            <a:solidFill>
              <a:sysClr val="windowText" lastClr="000000">
                <a:lumMod val="15000"/>
                <a:lumOff val="85000"/>
              </a:sysClr>
            </a:solidFill>
            <a:round/>
          </a:ln>
          <a:effectLst/>
        </c:spPr>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608999160"/>
        <c:crosses val="autoZero"/>
        <c:auto val="1"/>
        <c:lblAlgn val="ctr"/>
        <c:lblOffset val="100"/>
        <c:noMultiLvlLbl val="0"/>
      </c:catAx>
      <c:valAx>
        <c:axId val="608999160"/>
        <c:scaling>
          <c:orientation val="minMax"/>
          <c:max val="1"/>
          <c:min val="0"/>
        </c:scaling>
        <c:delete val="1"/>
        <c:axPos val="l"/>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608998768"/>
        <c:crosses val="autoZero"/>
        <c:crossBetween val="between"/>
        <c:majorUnit val="10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legend>
    <c:plotVisOnly val="1"/>
    <c:dispBlanksAs val="gap"/>
    <c:showDLblsOverMax val="0"/>
  </c:chart>
  <c:spPr>
    <a:solidFill>
      <a:sysClr val="window" lastClr="FFFFFF"/>
    </a:solidFill>
    <a:ln w="9525" cap="flat" cmpd="sng" algn="ctr">
      <a:noFill/>
      <a:round/>
    </a:ln>
    <a:effectLst/>
  </c:spPr>
  <c:txPr>
    <a:bodyPr/>
    <a:lstStyle/>
    <a:p>
      <a:pPr>
        <a:defRPr lang="zh-CN"/>
      </a:pPr>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818383423990785"/>
          <c:y val="0.171543102566725"/>
          <c:w val="0.84408756197142"/>
          <c:h val="0.579624743777953"/>
        </c:manualLayout>
      </c:layout>
      <c:barChart>
        <c:barDir val="col"/>
        <c:grouping val="clustered"/>
        <c:varyColors val="0"/>
        <c:ser>
          <c:idx val="0"/>
          <c:order val="0"/>
          <c:tx>
            <c:strRef>
              <c:f>Sheet1!$B$1</c:f>
              <c:strCache>
                <c:ptCount val="1"/>
                <c:pt idx="0">
                  <c:v>本校2020届专科毕业生</c:v>
                </c:pt>
              </c:strCache>
            </c:strRef>
          </c:tx>
          <c:invertIfNegative val="1"/>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c:f>
              <c:strCache>
                <c:ptCount val="1"/>
                <c:pt idx="0">
                  <c:v>工作总体满意度</c:v>
                </c:pt>
              </c:strCache>
            </c:strRef>
          </c:cat>
          <c:val>
            <c:numRef>
              <c:f>Sheet1!$B$2</c:f>
              <c:numCache>
                <c:formatCode>0.00%</c:formatCode>
                <c:ptCount val="1"/>
                <c:pt idx="0">
                  <c:v>0.9057</c:v>
                </c:pt>
              </c:numCache>
            </c:numRef>
          </c:val>
        </c:ser>
        <c:ser>
          <c:idx val="1"/>
          <c:order val="1"/>
          <c:tx>
            <c:strRef>
              <c:f>Sheet1!$C$1</c:f>
              <c:strCache>
                <c:ptCount val="1"/>
                <c:pt idx="0">
                  <c:v>本校2021届专科毕业生</c:v>
                </c:pt>
              </c:strCache>
            </c:strRef>
          </c:tx>
          <c:invertIfNegative val="1"/>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c:f>
              <c:strCache>
                <c:ptCount val="1"/>
                <c:pt idx="0">
                  <c:v>工作总体满意度</c:v>
                </c:pt>
              </c:strCache>
            </c:strRef>
          </c:cat>
          <c:val>
            <c:numRef>
              <c:f>Sheet1!$C$2</c:f>
              <c:numCache>
                <c:formatCode>0.00%</c:formatCode>
                <c:ptCount val="1"/>
                <c:pt idx="0">
                  <c:v>0.9344</c:v>
                </c:pt>
              </c:numCache>
            </c:numRef>
          </c:val>
        </c:ser>
        <c:ser>
          <c:idx val="2"/>
          <c:order val="2"/>
          <c:tx>
            <c:strRef>
              <c:f>Sheet1!$D$1</c:f>
              <c:strCache>
                <c:ptCount val="1"/>
                <c:pt idx="0">
                  <c:v>本校2022届专科毕业生</c:v>
                </c:pt>
              </c:strCache>
            </c:strRef>
          </c:tx>
          <c:spPr>
            <a:solidFill>
              <a:srgbClr val="4F81BD">
                <a:lumMod val="40000"/>
                <a:lumOff val="60000"/>
              </a:srgb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c:f>
              <c:strCache>
                <c:ptCount val="1"/>
                <c:pt idx="0">
                  <c:v>工作总体满意度</c:v>
                </c:pt>
              </c:strCache>
            </c:strRef>
          </c:cat>
          <c:val>
            <c:numRef>
              <c:f>Sheet1!$D$2</c:f>
              <c:numCache>
                <c:formatCode>0.00%</c:formatCode>
                <c:ptCount val="1"/>
                <c:pt idx="0">
                  <c:v>0.9123</c:v>
                </c:pt>
              </c:numCache>
            </c:numRef>
          </c:val>
        </c:ser>
        <c:ser>
          <c:idx val="3"/>
          <c:order val="3"/>
          <c:tx>
            <c:strRef>
              <c:f>Sheet1!$E$1</c:f>
              <c:strCache>
                <c:ptCount val="1"/>
                <c:pt idx="0">
                  <c:v>全国高校2022届专科毕业生</c:v>
                </c:pt>
              </c:strCache>
            </c:strRef>
          </c:tx>
          <c:spPr>
            <a:solidFill>
              <a:srgbClr val="4F81BD">
                <a:lumMod val="20000"/>
                <a:lumOff val="80000"/>
              </a:srgb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c:f>
              <c:strCache>
                <c:ptCount val="1"/>
                <c:pt idx="0">
                  <c:v>工作总体满意度</c:v>
                </c:pt>
              </c:strCache>
            </c:strRef>
          </c:cat>
          <c:val>
            <c:numRef>
              <c:f>Sheet1!$E$2</c:f>
              <c:numCache>
                <c:formatCode>0.00%</c:formatCode>
                <c:ptCount val="1"/>
                <c:pt idx="0">
                  <c:v>0.9321</c:v>
                </c:pt>
              </c:numCache>
            </c:numRef>
          </c:val>
        </c:ser>
        <c:dLbls>
          <c:showLegendKey val="0"/>
          <c:showVal val="1"/>
          <c:showCatName val="0"/>
          <c:showSerName val="0"/>
          <c:showPercent val="0"/>
          <c:showBubbleSize val="0"/>
        </c:dLbls>
        <c:gapWidth val="269"/>
        <c:overlap val="-15"/>
        <c:axId val="608998768"/>
        <c:axId val="608999160"/>
      </c:barChart>
      <c:catAx>
        <c:axId val="608998768"/>
        <c:scaling>
          <c:orientation val="minMax"/>
        </c:scaling>
        <c:delete val="0"/>
        <c:axPos val="b"/>
        <c:numFmt formatCode="General" sourceLinked="1"/>
        <c:majorTickMark val="none"/>
        <c:minorTickMark val="none"/>
        <c:tickLblPos val="nextTo"/>
        <c:spPr>
          <a:noFill/>
          <a:ln w="12700" cap="flat" cmpd="sng" algn="ctr">
            <a:solidFill>
              <a:sysClr val="window" lastClr="FFFFFF">
                <a:lumMod val="50000"/>
              </a:sysClr>
            </a:solidFill>
            <a:prstDash val="solid"/>
            <a:round/>
          </a:ln>
        </c:spPr>
        <c:txPr>
          <a:bodyPr rot="0" spcFirstLastPara="1" vertOverflow="ellipsis" vert="horz" wrap="square" anchor="ctr" anchorCtr="1"/>
          <a:lstStyle/>
          <a:p>
            <a:pPr>
              <a:defRPr lang="zh-CN" sz="900" b="0" i="0" u="none" strike="noStrike" kern="1200" baseline="0">
                <a:solidFill>
                  <a:sysClr val="window" lastClr="FFFFFF"/>
                </a:solidFill>
                <a:latin typeface="+mn-lt"/>
                <a:ea typeface="+mn-ea"/>
                <a:cs typeface="+mn-cs"/>
              </a:defRPr>
            </a:pPr>
          </a:p>
        </c:txPr>
        <c:crossAx val="608999160"/>
        <c:crosses val="autoZero"/>
        <c:auto val="1"/>
        <c:lblAlgn val="ctr"/>
        <c:lblOffset val="100"/>
        <c:noMultiLvlLbl val="0"/>
      </c:catAx>
      <c:valAx>
        <c:axId val="608999160"/>
        <c:scaling>
          <c:orientation val="minMax"/>
          <c:max val="1"/>
          <c:min val="0"/>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608998768"/>
        <c:crosses val="autoZero"/>
        <c:crossBetween val="between"/>
        <c:majorUnit val="1000"/>
      </c:valAx>
      <c:spPr>
        <a:noFill/>
        <a:ln>
          <a:noFill/>
        </a:ln>
      </c:spPr>
    </c:plotArea>
    <c:legend>
      <c:legendPos val="b"/>
      <c:layout>
        <c:manualLayout>
          <c:xMode val="edge"/>
          <c:yMode val="edge"/>
          <c:x val="0.135541489027554"/>
          <c:y val="0.810391579149086"/>
          <c:w val="0.753704662274492"/>
          <c:h val="0.160448936420261"/>
        </c:manualLayout>
      </c:layout>
      <c:overlay val="0"/>
      <c:spPr>
        <a:noFill/>
        <a:ln>
          <a:noFill/>
        </a:ln>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gap"/>
    <c:showDLblsOverMax val="0"/>
  </c:chart>
  <c:spPr>
    <a:solidFill>
      <a:sysClr val="window" lastClr="FFFFFF"/>
    </a:solidFill>
    <a:ln w="9525" cap="flat" cmpd="sng" algn="ctr">
      <a:noFill/>
      <a:prstDash val="solid"/>
      <a:round/>
    </a:ln>
  </c:spPr>
  <c:txPr>
    <a:bodyPr/>
    <a:lstStyle/>
    <a:p>
      <a:pPr>
        <a:defRPr lang="zh-CN">
          <a:solidFill>
            <a:sysClr val="windowText" lastClr="000000"/>
          </a:solidFill>
        </a:defRPr>
      </a:pPr>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5319966447493"/>
          <c:y val="0.133353113469512"/>
          <c:w val="0.39121600779284"/>
          <c:h val="0.733293773060976"/>
        </c:manualLayout>
      </c:layout>
      <c:pieChart>
        <c:varyColors val="1"/>
        <c:ser>
          <c:idx val="0"/>
          <c:order val="0"/>
          <c:tx>
            <c:strRef>
              <c:f>Sheet1!$B$1</c:f>
              <c:strCache>
                <c:ptCount val="1"/>
                <c:pt idx="0">
                  <c:v>占比</c:v>
                </c:pt>
              </c:strCache>
            </c:strRef>
          </c:tx>
          <c:explosion val="0"/>
          <c:dPt>
            <c:idx val="0"/>
            <c:bubble3D val="0"/>
            <c:spPr>
              <a:solidFill>
                <a:srgbClr val="0F6FC6"/>
              </a:solidFill>
              <a:ln w="19050">
                <a:solidFill>
                  <a:sysClr val="window" lastClr="FFFFFF"/>
                </a:solidFill>
              </a:ln>
              <a:effectLst/>
            </c:spPr>
          </c:dPt>
          <c:dPt>
            <c:idx val="1"/>
            <c:bubble3D val="0"/>
            <c:spPr>
              <a:solidFill>
                <a:srgbClr val="009DD9"/>
              </a:solidFill>
              <a:ln w="19050">
                <a:solidFill>
                  <a:sysClr val="window" lastClr="FFFFFF"/>
                </a:solidFill>
              </a:ln>
              <a:effectLst/>
            </c:spPr>
          </c:dPt>
          <c:dPt>
            <c:idx val="2"/>
            <c:bubble3D val="0"/>
            <c:spPr>
              <a:solidFill>
                <a:srgbClr val="1F497D">
                  <a:lumMod val="60000"/>
                  <a:lumOff val="40000"/>
                </a:srgbClr>
              </a:solidFill>
              <a:ln w="19050">
                <a:solidFill>
                  <a:sysClr val="window" lastClr="FFFFFF"/>
                </a:solidFill>
              </a:ln>
              <a:effectLst/>
            </c:spPr>
          </c:dPt>
          <c:dPt>
            <c:idx val="3"/>
            <c:bubble3D val="0"/>
            <c:spPr>
              <a:solidFill>
                <a:srgbClr val="4F81BD">
                  <a:lumMod val="40000"/>
                  <a:lumOff val="60000"/>
                </a:srgbClr>
              </a:solidFill>
              <a:ln w="19050">
                <a:solidFill>
                  <a:sysClr val="window" lastClr="FFFFFF"/>
                </a:solidFill>
              </a:ln>
              <a:effectLst/>
            </c:spPr>
          </c:dPt>
          <c:dPt>
            <c:idx val="4"/>
            <c:bubble3D val="0"/>
            <c:spPr>
              <a:solidFill>
                <a:srgbClr val="4F81BD">
                  <a:lumMod val="75000"/>
                </a:srgbClr>
              </a:solidFill>
              <a:ln w="19050">
                <a:solidFill>
                  <a:sysClr val="window" lastClr="FFFFFF"/>
                </a:solidFill>
              </a:ln>
              <a:effectLst/>
            </c:spPr>
          </c:dPt>
          <c:dLbls>
            <c:dLbl>
              <c:idx val="0"/>
              <c:layout>
                <c:manualLayout>
                  <c:x val="0.0332250688247709"/>
                  <c:y val="0.0626989309263171"/>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0130530075493141"/>
                  <c:y val="-2.94906956855112e-6"/>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00590091187055226"/>
                  <c:y val="-0.0459199622519095"/>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0348097708627321"/>
                  <c:y val="0.0565512237799543"/>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clip" horzOverflow="clip" vert="horz" wrap="square" lIns="36576" tIns="18288" rIns="36576" bIns="18288" anchor="ctr" anchorCtr="1">
                <a:sp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1"/>
            <c:showCatName val="1"/>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很符合</c:v>
                </c:pt>
                <c:pt idx="1">
                  <c:v>符合</c:v>
                </c:pt>
                <c:pt idx="2">
                  <c:v>基本符合</c:v>
                </c:pt>
                <c:pt idx="3">
                  <c:v>不符合</c:v>
                </c:pt>
                <c:pt idx="4">
                  <c:v>很不符合</c:v>
                </c:pt>
              </c:strCache>
            </c:strRef>
          </c:cat>
          <c:val>
            <c:numRef>
              <c:f>Sheet1!$B$2:$B$6</c:f>
              <c:numCache>
                <c:formatCode>0.00%</c:formatCode>
                <c:ptCount val="5"/>
                <c:pt idx="0">
                  <c:v>0.2247</c:v>
                </c:pt>
                <c:pt idx="1">
                  <c:v>0.2411</c:v>
                </c:pt>
                <c:pt idx="2">
                  <c:v>0.3869</c:v>
                </c:pt>
                <c:pt idx="3">
                  <c:v>0.1161</c:v>
                </c:pt>
                <c:pt idx="4">
                  <c:v>0.0313</c:v>
                </c:pt>
              </c:numCache>
            </c:numRef>
          </c:val>
        </c:ser>
        <c:dLbls>
          <c:showLegendKey val="0"/>
          <c:showVal val="0"/>
          <c:showCatName val="0"/>
          <c:showSerName val="0"/>
          <c:showPercent val="0"/>
          <c:showBubbleSize val="0"/>
          <c:showLeaderLines val="0"/>
        </c:dLbls>
        <c:firstSliceAng val="0"/>
      </c:pieChart>
      <c:spPr>
        <a:noFill/>
        <a:ln>
          <a:noFill/>
        </a:ln>
      </c:spPr>
    </c:plotArea>
    <c:plotVisOnly val="1"/>
    <c:dispBlanksAs val="gap"/>
    <c:showDLblsOverMax val="0"/>
  </c:chart>
  <c:spPr>
    <a:solidFill>
      <a:sysClr val="window" lastClr="FFFFFF"/>
    </a:solidFill>
    <a:ln w="9525" cap="flat" cmpd="sng" algn="ctr">
      <a:solidFill>
        <a:sysClr val="window" lastClr="FFFFFF"/>
      </a:solidFill>
      <a:prstDash val="solid"/>
      <a:round/>
    </a:ln>
  </c:spPr>
  <c:txPr>
    <a:bodyPr/>
    <a:lstStyle/>
    <a:p>
      <a:pPr>
        <a:defRPr lang="zh-CN">
          <a:solidFill>
            <a:sysClr val="windowText" lastClr="000000"/>
          </a:solidFill>
        </a:defRPr>
      </a:pPr>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818383423990785"/>
          <c:y val="0.0924917784486425"/>
          <c:w val="0.84408756197142"/>
          <c:h val="0.678633925699999"/>
        </c:manualLayout>
      </c:layout>
      <c:barChart>
        <c:barDir val="col"/>
        <c:grouping val="clustered"/>
        <c:varyColors val="0"/>
        <c:ser>
          <c:idx val="0"/>
          <c:order val="0"/>
          <c:tx>
            <c:strRef>
              <c:f>Sheet1!$B$1</c:f>
              <c:strCache>
                <c:ptCount val="1"/>
                <c:pt idx="0">
                  <c:v>本校2020届专科毕业生</c:v>
                </c:pt>
              </c:strCache>
            </c:strRef>
          </c:tx>
          <c:invertIfNegative val="1"/>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c:f>
              <c:strCache>
                <c:ptCount val="1"/>
                <c:pt idx="0">
                  <c:v>吻合度</c:v>
                </c:pt>
              </c:strCache>
            </c:strRef>
          </c:cat>
          <c:val>
            <c:numRef>
              <c:f>Sheet1!$B$2</c:f>
              <c:numCache>
                <c:formatCode>0.00%</c:formatCode>
                <c:ptCount val="1"/>
                <c:pt idx="0">
                  <c:v>0.7831</c:v>
                </c:pt>
              </c:numCache>
            </c:numRef>
          </c:val>
        </c:ser>
        <c:ser>
          <c:idx val="1"/>
          <c:order val="1"/>
          <c:tx>
            <c:strRef>
              <c:f>Sheet1!$C$1</c:f>
              <c:strCache>
                <c:ptCount val="1"/>
                <c:pt idx="0">
                  <c:v>本校2021届专科毕业生</c:v>
                </c:pt>
              </c:strCache>
            </c:strRef>
          </c:tx>
          <c:invertIfNegative val="1"/>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c:f>
              <c:strCache>
                <c:ptCount val="1"/>
                <c:pt idx="0">
                  <c:v>吻合度</c:v>
                </c:pt>
              </c:strCache>
            </c:strRef>
          </c:cat>
          <c:val>
            <c:numRef>
              <c:f>Sheet1!$C$2</c:f>
              <c:numCache>
                <c:formatCode>0.00%</c:formatCode>
                <c:ptCount val="1"/>
                <c:pt idx="0">
                  <c:v>0.8978</c:v>
                </c:pt>
              </c:numCache>
            </c:numRef>
          </c:val>
        </c:ser>
        <c:ser>
          <c:idx val="2"/>
          <c:order val="2"/>
          <c:tx>
            <c:strRef>
              <c:f>Sheet1!$D$1</c:f>
              <c:strCache>
                <c:ptCount val="1"/>
                <c:pt idx="0">
                  <c:v>本校2022届专科毕业生</c:v>
                </c:pt>
              </c:strCache>
            </c:strRef>
          </c:tx>
          <c:spPr>
            <a:solidFill>
              <a:srgbClr val="4F81BD">
                <a:lumMod val="20000"/>
                <a:lumOff val="80000"/>
              </a:srgb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c:f>
              <c:strCache>
                <c:ptCount val="1"/>
                <c:pt idx="0">
                  <c:v>吻合度</c:v>
                </c:pt>
              </c:strCache>
            </c:strRef>
          </c:cat>
          <c:val>
            <c:numRef>
              <c:f>Sheet1!$D$2</c:f>
              <c:numCache>
                <c:formatCode>0.00%</c:formatCode>
                <c:ptCount val="1"/>
                <c:pt idx="0">
                  <c:v>0.8527</c:v>
                </c:pt>
              </c:numCache>
            </c:numRef>
          </c:val>
        </c:ser>
        <c:ser>
          <c:idx val="3"/>
          <c:order val="3"/>
          <c:tx>
            <c:strRef>
              <c:f>Sheet1!$E$1</c:f>
              <c:strCache>
                <c:ptCount val="1"/>
                <c:pt idx="0">
                  <c:v>全国高校2022届专科毕业生</c:v>
                </c:pt>
              </c:strCache>
            </c:strRef>
          </c:tx>
          <c:spPr>
            <a:solidFill>
              <a:srgbClr val="4F81BD">
                <a:lumMod val="75000"/>
              </a:srgb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c:f>
              <c:strCache>
                <c:ptCount val="1"/>
                <c:pt idx="0">
                  <c:v>吻合度</c:v>
                </c:pt>
              </c:strCache>
            </c:strRef>
          </c:cat>
          <c:val>
            <c:numRef>
              <c:f>Sheet1!$E$2</c:f>
              <c:numCache>
                <c:formatCode>0.00%</c:formatCode>
                <c:ptCount val="1"/>
                <c:pt idx="0">
                  <c:v>0.8552</c:v>
                </c:pt>
              </c:numCache>
            </c:numRef>
          </c:val>
        </c:ser>
        <c:dLbls>
          <c:showLegendKey val="0"/>
          <c:showVal val="1"/>
          <c:showCatName val="0"/>
          <c:showSerName val="0"/>
          <c:showPercent val="0"/>
          <c:showBubbleSize val="0"/>
        </c:dLbls>
        <c:gapWidth val="269"/>
        <c:overlap val="-15"/>
        <c:axId val="608998768"/>
        <c:axId val="608999160"/>
      </c:barChart>
      <c:catAx>
        <c:axId val="608998768"/>
        <c:scaling>
          <c:orientation val="minMax"/>
        </c:scaling>
        <c:delete val="0"/>
        <c:axPos val="b"/>
        <c:numFmt formatCode="General" sourceLinked="1"/>
        <c:majorTickMark val="none"/>
        <c:minorTickMark val="none"/>
        <c:tickLblPos val="nextTo"/>
        <c:spPr>
          <a:noFill/>
          <a:ln w="12700" cap="flat" cmpd="sng" algn="ctr">
            <a:solidFill>
              <a:sysClr val="window" lastClr="FFFFFF">
                <a:lumMod val="50000"/>
              </a:sysClr>
            </a:solidFill>
            <a:prstDash val="solid"/>
            <a:round/>
          </a:ln>
        </c:spPr>
        <c:txPr>
          <a:bodyPr rot="0" spcFirstLastPara="1" vertOverflow="ellipsis" vert="horz" wrap="square" anchor="ctr" anchorCtr="1"/>
          <a:lstStyle/>
          <a:p>
            <a:pPr>
              <a:defRPr lang="zh-CN" sz="900" b="0" i="0" u="none" strike="noStrike" kern="1200" baseline="0">
                <a:solidFill>
                  <a:sysClr val="window" lastClr="FFFFFF"/>
                </a:solidFill>
                <a:latin typeface="+mn-lt"/>
                <a:ea typeface="+mn-ea"/>
                <a:cs typeface="+mn-cs"/>
              </a:defRPr>
            </a:pPr>
          </a:p>
        </c:txPr>
        <c:crossAx val="608999160"/>
        <c:crosses val="autoZero"/>
        <c:auto val="1"/>
        <c:lblAlgn val="ctr"/>
        <c:lblOffset val="100"/>
        <c:noMultiLvlLbl val="0"/>
      </c:catAx>
      <c:valAx>
        <c:axId val="608999160"/>
        <c:scaling>
          <c:orientation val="minMax"/>
          <c:max val="1"/>
          <c:min val="0"/>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608998768"/>
        <c:crosses val="autoZero"/>
        <c:crossBetween val="between"/>
        <c:majorUnit val="1000"/>
      </c:valAx>
      <c:spPr>
        <a:noFill/>
        <a:ln>
          <a:noFill/>
        </a:ln>
      </c:spPr>
    </c:plotArea>
    <c:legend>
      <c:legendPos val="b"/>
      <c:layout>
        <c:manualLayout>
          <c:xMode val="edge"/>
          <c:yMode val="edge"/>
          <c:x val="0.115895455596786"/>
          <c:y val="0.825393545174442"/>
          <c:w val="0.810954003883843"/>
          <c:h val="0.155178903032378"/>
        </c:manualLayout>
      </c:layout>
      <c:overlay val="0"/>
      <c:spPr>
        <a:noFill/>
        <a:ln>
          <a:noFill/>
        </a:ln>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gap"/>
    <c:showDLblsOverMax val="0"/>
  </c:chart>
  <c:spPr>
    <a:solidFill>
      <a:sysClr val="window" lastClr="FFFFFF"/>
    </a:solidFill>
    <a:ln w="9525" cap="flat" cmpd="sng" algn="ctr">
      <a:noFill/>
      <a:prstDash val="solid"/>
      <a:round/>
    </a:ln>
  </c:spPr>
  <c:txPr>
    <a:bodyPr/>
    <a:lstStyle/>
    <a:p>
      <a:pPr>
        <a:defRPr lang="zh-CN">
          <a:solidFill>
            <a:sysClr val="windowText" lastClr="000000"/>
          </a:solidFill>
        </a:defRPr>
      </a:pPr>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8980714367226"/>
          <c:y val="0.110499787694183"/>
          <c:w val="0.505320834895638"/>
          <c:h val="0.889500212305817"/>
        </c:manualLayout>
      </c:layout>
      <c:pieChart>
        <c:varyColors val="1"/>
        <c:ser>
          <c:idx val="0"/>
          <c:order val="0"/>
          <c:tx>
            <c:strRef>
              <c:f>Sheet1!$B$1</c:f>
              <c:strCache>
                <c:ptCount val="1"/>
                <c:pt idx="0">
                  <c:v>占比</c:v>
                </c:pt>
              </c:strCache>
            </c:strRef>
          </c:tx>
          <c:explosion val="0"/>
          <c:dPt>
            <c:idx val="0"/>
            <c:bubble3D val="0"/>
            <c:spPr>
              <a:solidFill>
                <a:srgbClr val="0F6FC6"/>
              </a:solidFill>
              <a:ln>
                <a:solidFill>
                  <a:sysClr val="window" lastClr="FFFFFF"/>
                </a:solidFill>
              </a:ln>
              <a:effectLst/>
            </c:spPr>
          </c:dPt>
          <c:dPt>
            <c:idx val="1"/>
            <c:bubble3D val="0"/>
            <c:spPr>
              <a:solidFill>
                <a:srgbClr val="009DD9"/>
              </a:solidFill>
              <a:ln>
                <a:solidFill>
                  <a:sysClr val="window" lastClr="FFFFFF"/>
                </a:solidFill>
              </a:ln>
              <a:effectLst/>
            </c:spPr>
          </c:dPt>
          <c:dPt>
            <c:idx val="2"/>
            <c:bubble3D val="0"/>
            <c:spPr>
              <a:solidFill>
                <a:srgbClr val="4F81BD">
                  <a:lumMod val="75000"/>
                </a:srgbClr>
              </a:solidFill>
              <a:ln>
                <a:solidFill>
                  <a:sysClr val="window" lastClr="FFFFFF"/>
                </a:solidFill>
              </a:ln>
              <a:effectLst/>
            </c:spPr>
          </c:dPt>
          <c:dPt>
            <c:idx val="3"/>
            <c:bubble3D val="0"/>
            <c:spPr>
              <a:solidFill>
                <a:srgbClr val="1F497D">
                  <a:lumMod val="20000"/>
                  <a:lumOff val="80000"/>
                </a:srgbClr>
              </a:solidFill>
              <a:ln>
                <a:solidFill>
                  <a:sysClr val="window" lastClr="FFFFFF"/>
                </a:solidFill>
              </a:ln>
              <a:effectLst/>
            </c:spPr>
          </c:dPt>
          <c:dLbls>
            <c:dLbl>
              <c:idx val="0"/>
              <c:layout/>
              <c:tx>
                <c:rich>
                  <a:bodyPr rot="0" spcFirstLastPara="1" vertOverflow="ellipsis" vert="horz" wrap="square" lIns="38100" tIns="19050" rIns="38100" bIns="19050" anchor="ctr" anchorCtr="1">
                    <a:noAutofit/>
                  </a:bodyPr>
                  <a:lstStyle/>
                  <a:p>
                    <a:fld id="{d7442352-673e-46b2-8e37-00a14660cf7a}" type="CATEGORYNAME">
                      <a:t>[CATEGORY NAME]</a:t>
                    </a:fld>
                    <a:r>
                      <a:t>,</a:t>
                    </a:r>
                    <a:fld id="{2f82260c-3797-4091-ae76-275793ea2c44}" type="VALUE">
                      <a:t>[VALUE]</a:t>
                    </a:fld>
                    <a:endParaRPr lang="en-US" altLang="zh-CN" b="0" i="0" u="none" strike="noStrike" baseline="0">
                      <a:latin typeface="Times New Roman" panose="02020603050405020304" charset="0"/>
                      <a:ea typeface="Times New Roman" panose="02020603050405020304" charset="0"/>
                      <a:cs typeface="+mn-ea"/>
                    </a:endParaRPr>
                  </a:p>
                </c:rich>
              </c:tx>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1000" b="0" i="0" u="none" strike="noStrike" kern="1200" baseline="0">
                      <a:solidFill>
                        <a:schemeClr val="tx1"/>
                      </a:solidFill>
                      <a:latin typeface="+mn-lt"/>
                      <a:ea typeface="+mn-ea"/>
                      <a:cs typeface="+mn-cs"/>
                    </a:defRPr>
                  </a:pPr>
                </a:p>
              </c:txPr>
              <c:dLblPos val="outEnd"/>
              <c:showLegendKey val="0"/>
              <c:showVal val="1"/>
              <c:showCatName val="1"/>
              <c:showSerName val="0"/>
              <c:showPercent val="0"/>
              <c:showBubbleSize val="0"/>
              <c:extLst>
                <c:ext xmlns:c15="http://schemas.microsoft.com/office/drawing/2012/chart" uri="{CE6537A1-D6FC-4f65-9D91-7224C49458BB}"/>
              </c:extLst>
            </c:dLbl>
            <c:dLbl>
              <c:idx val="3"/>
              <c:layout>
                <c:manualLayout>
                  <c:x val="0.192063461894849"/>
                  <c:y val="-0.0222222386004488"/>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1000" b="0" i="0" u="none" strike="noStrike" kern="1200" baseline="0">
                      <a:solidFill>
                        <a:sysClr val="windowText" lastClr="000000"/>
                      </a:solidFill>
                      <a:latin typeface="+mn-lt"/>
                      <a:ea typeface="+mn-ea"/>
                      <a:cs typeface="+mn-cs"/>
                    </a:defRPr>
                  </a:pPr>
                </a:p>
              </c:txPr>
              <c:dLblPos val="bestFit"/>
              <c:showLegendKey val="0"/>
              <c:showVal val="1"/>
              <c:showCatName val="1"/>
              <c:showSerName val="0"/>
              <c:showPercent val="0"/>
              <c:showBubbleSize val="0"/>
              <c:extLst>
                <c:ext xmlns:c15="http://schemas.microsoft.com/office/drawing/2012/chart" uri="{CE6537A1-D6FC-4f65-9D91-7224C49458BB}">
                  <c15:layout>
                    <c:manualLayout>
                      <c:w val="0.357349021027544"/>
                      <c:h val="0.113141440653252"/>
                    </c:manualLayout>
                  </c15:layout>
                </c:ext>
              </c:extLst>
            </c:dLbl>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1"/>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0次</c:v>
                </c:pt>
                <c:pt idx="1">
                  <c:v>1次</c:v>
                </c:pt>
                <c:pt idx="2">
                  <c:v>2次</c:v>
                </c:pt>
                <c:pt idx="3">
                  <c:v>3次及以上</c:v>
                </c:pt>
              </c:strCache>
            </c:strRef>
          </c:cat>
          <c:val>
            <c:numRef>
              <c:f>Sheet1!$B$2:$B$5</c:f>
              <c:numCache>
                <c:formatCode>0.00%</c:formatCode>
                <c:ptCount val="4"/>
                <c:pt idx="0">
                  <c:v>0.5637</c:v>
                </c:pt>
                <c:pt idx="1">
                  <c:v>0.2598</c:v>
                </c:pt>
                <c:pt idx="2">
                  <c:v>0.1256</c:v>
                </c:pt>
                <c:pt idx="3">
                  <c:v>0.0509</c:v>
                </c:pt>
              </c:numCache>
            </c:numRef>
          </c:val>
        </c:ser>
        <c:dLbls>
          <c:showLegendKey val="0"/>
          <c:showVal val="0"/>
          <c:showCatName val="0"/>
          <c:showSerName val="0"/>
          <c:showPercent val="0"/>
          <c:showBubbleSize val="0"/>
          <c:showLeaderLines val="0"/>
        </c:dLbls>
        <c:firstSliceAng val="0"/>
      </c:pieChart>
      <c:spPr>
        <a:noFill/>
        <a:ln>
          <a:noFill/>
        </a:ln>
      </c:spPr>
    </c:plotArea>
    <c:plotVisOnly val="1"/>
    <c:dispBlanksAs val="zero"/>
    <c:showDLblsOverMax val="0"/>
  </c:chart>
  <c:spPr>
    <a:solidFill>
      <a:sysClr val="window" lastClr="FFFFFF"/>
    </a:solidFill>
    <a:ln w="9525" cap="flat" cmpd="sng" algn="ctr">
      <a:noFill/>
      <a:prstDash val="solid"/>
      <a:round/>
    </a:ln>
  </c:spPr>
  <c:txPr>
    <a:bodyPr/>
    <a:lstStyle/>
    <a:p>
      <a:pPr>
        <a:defRPr lang="zh-CN"/>
      </a:pPr>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818383423990785"/>
          <c:y val="0.090029226696008"/>
          <c:w val="0.84408756197142"/>
          <c:h val="0.597385872617451"/>
        </c:manualLayout>
      </c:layout>
      <c:barChart>
        <c:barDir val="col"/>
        <c:grouping val="clustered"/>
        <c:varyColors val="0"/>
        <c:ser>
          <c:idx val="0"/>
          <c:order val="0"/>
          <c:tx>
            <c:strRef>
              <c:f>Sheet1!$B$1</c:f>
              <c:strCache>
                <c:ptCount val="1"/>
                <c:pt idx="0">
                  <c:v>本校2020届专科毕业生</c:v>
                </c:pt>
              </c:strCache>
            </c:strRef>
          </c:tx>
          <c:invertIfNegative val="1"/>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c:f>
              <c:strCache>
                <c:ptCount val="1"/>
                <c:pt idx="0">
                  <c:v>离职率</c:v>
                </c:pt>
              </c:strCache>
            </c:strRef>
          </c:cat>
          <c:val>
            <c:numRef>
              <c:f>Sheet1!$B$2</c:f>
              <c:numCache>
                <c:formatCode>0.00%</c:formatCode>
                <c:ptCount val="1"/>
                <c:pt idx="0">
                  <c:v>0.5903</c:v>
                </c:pt>
              </c:numCache>
            </c:numRef>
          </c:val>
        </c:ser>
        <c:ser>
          <c:idx val="1"/>
          <c:order val="1"/>
          <c:tx>
            <c:strRef>
              <c:f>Sheet1!$C$1</c:f>
              <c:strCache>
                <c:ptCount val="1"/>
                <c:pt idx="0">
                  <c:v>本校2021届专科毕业生</c:v>
                </c:pt>
              </c:strCache>
            </c:strRef>
          </c:tx>
          <c:invertIfNegative val="1"/>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c:f>
              <c:strCache>
                <c:ptCount val="1"/>
                <c:pt idx="0">
                  <c:v>离职率</c:v>
                </c:pt>
              </c:strCache>
            </c:strRef>
          </c:cat>
          <c:val>
            <c:numRef>
              <c:f>Sheet1!$C$2</c:f>
              <c:numCache>
                <c:formatCode>0.00%</c:formatCode>
                <c:ptCount val="1"/>
                <c:pt idx="0">
                  <c:v>0.6037</c:v>
                </c:pt>
              </c:numCache>
            </c:numRef>
          </c:val>
        </c:ser>
        <c:ser>
          <c:idx val="2"/>
          <c:order val="2"/>
          <c:tx>
            <c:strRef>
              <c:f>Sheet1!$D$1</c:f>
              <c:strCache>
                <c:ptCount val="1"/>
                <c:pt idx="0">
                  <c:v>本校2022届专科毕业生</c:v>
                </c:pt>
              </c:strCache>
            </c:strRef>
          </c:tx>
          <c:invertIfNegative val="0"/>
          <c:dPt>
            <c:idx val="0"/>
            <c:invertIfNegative val="0"/>
            <c:bubble3D val="0"/>
            <c:spPr>
              <a:solidFill>
                <a:srgbClr val="1F497D">
                  <a:lumMod val="20000"/>
                  <a:lumOff val="80000"/>
                </a:srgbClr>
              </a:solidFill>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c:f>
              <c:strCache>
                <c:ptCount val="1"/>
                <c:pt idx="0">
                  <c:v>离职率</c:v>
                </c:pt>
              </c:strCache>
            </c:strRef>
          </c:cat>
          <c:val>
            <c:numRef>
              <c:f>Sheet1!$D$2</c:f>
              <c:numCache>
                <c:formatCode>0.00%</c:formatCode>
                <c:ptCount val="1"/>
                <c:pt idx="0">
                  <c:v>0.4363</c:v>
                </c:pt>
              </c:numCache>
            </c:numRef>
          </c:val>
        </c:ser>
        <c:ser>
          <c:idx val="3"/>
          <c:order val="3"/>
          <c:tx>
            <c:strRef>
              <c:f>Sheet1!$E$1</c:f>
              <c:strCache>
                <c:ptCount val="1"/>
                <c:pt idx="0">
                  <c:v>全国高校2022届专科毕业生</c:v>
                </c:pt>
              </c:strCache>
            </c:strRef>
          </c:tx>
          <c:spPr>
            <a:solidFill>
              <a:srgbClr val="1F497D">
                <a:lumMod val="40000"/>
                <a:lumOff val="60000"/>
              </a:srgb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c:f>
              <c:strCache>
                <c:ptCount val="1"/>
                <c:pt idx="0">
                  <c:v>离职率</c:v>
                </c:pt>
              </c:strCache>
            </c:strRef>
          </c:cat>
          <c:val>
            <c:numRef>
              <c:f>Sheet1!$E$2</c:f>
              <c:numCache>
                <c:formatCode>0.00%</c:formatCode>
                <c:ptCount val="1"/>
                <c:pt idx="0">
                  <c:v>0.3279</c:v>
                </c:pt>
              </c:numCache>
            </c:numRef>
          </c:val>
        </c:ser>
        <c:dLbls>
          <c:showLegendKey val="0"/>
          <c:showVal val="1"/>
          <c:showCatName val="0"/>
          <c:showSerName val="0"/>
          <c:showPercent val="0"/>
          <c:showBubbleSize val="0"/>
        </c:dLbls>
        <c:gapWidth val="269"/>
        <c:overlap val="-15"/>
        <c:axId val="608998768"/>
        <c:axId val="608999160"/>
      </c:barChart>
      <c:catAx>
        <c:axId val="608998768"/>
        <c:scaling>
          <c:orientation val="minMax"/>
        </c:scaling>
        <c:delete val="0"/>
        <c:axPos val="b"/>
        <c:numFmt formatCode="General" sourceLinked="1"/>
        <c:majorTickMark val="none"/>
        <c:minorTickMark val="none"/>
        <c:tickLblPos val="nextTo"/>
        <c:spPr>
          <a:noFill/>
          <a:ln w="12700" cap="flat" cmpd="sng" algn="ctr">
            <a:solidFill>
              <a:sysClr val="window" lastClr="FFFFFF">
                <a:lumMod val="50000"/>
              </a:sysClr>
            </a:solidFill>
            <a:prstDash val="solid"/>
            <a:round/>
          </a:ln>
        </c:spPr>
        <c:txPr>
          <a:bodyPr rot="0" spcFirstLastPara="1" vertOverflow="ellipsis" vert="horz" wrap="square" anchor="ctr" anchorCtr="1"/>
          <a:lstStyle/>
          <a:p>
            <a:pPr>
              <a:defRPr lang="zh-CN" sz="900" b="0" i="0" u="none" strike="noStrike" kern="1200" baseline="0">
                <a:solidFill>
                  <a:sysClr val="window" lastClr="FFFFFF"/>
                </a:solidFill>
                <a:latin typeface="+mn-lt"/>
                <a:ea typeface="+mn-ea"/>
                <a:cs typeface="+mn-cs"/>
              </a:defRPr>
            </a:pPr>
          </a:p>
        </c:txPr>
        <c:crossAx val="608999160"/>
        <c:crosses val="autoZero"/>
        <c:auto val="1"/>
        <c:lblAlgn val="ctr"/>
        <c:lblOffset val="100"/>
        <c:noMultiLvlLbl val="0"/>
      </c:catAx>
      <c:valAx>
        <c:axId val="608999160"/>
        <c:scaling>
          <c:orientation val="minMax"/>
          <c:max val="0.65"/>
          <c:min val="0"/>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608998768"/>
        <c:crosses val="autoZero"/>
        <c:crossBetween val="between"/>
        <c:majorUnit val="1000"/>
      </c:valAx>
      <c:spPr>
        <a:noFill/>
        <a:ln>
          <a:noFill/>
        </a:ln>
      </c:spPr>
    </c:plotArea>
    <c:legend>
      <c:legendPos val="b"/>
      <c:layout>
        <c:manualLayout>
          <c:xMode val="edge"/>
          <c:yMode val="edge"/>
          <c:x val="0.0988312577250545"/>
          <c:y val="0.693676259899827"/>
          <c:w val="0.813608672050322"/>
          <c:h val="0.250974600937529"/>
        </c:manualLayout>
      </c:layout>
      <c:overlay val="0"/>
      <c:spPr>
        <a:noFill/>
        <a:ln>
          <a:noFill/>
        </a:ln>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gap"/>
    <c:showDLblsOverMax val="0"/>
  </c:chart>
  <c:spPr>
    <a:solidFill>
      <a:sysClr val="window" lastClr="FFFFFF"/>
    </a:solidFill>
    <a:ln w="9525" cap="flat" cmpd="sng" algn="ctr">
      <a:noFill/>
      <a:prstDash val="solid"/>
      <a:round/>
    </a:ln>
  </c:spPr>
  <c:txPr>
    <a:bodyPr/>
    <a:lstStyle/>
    <a:p>
      <a:pPr>
        <a:defRPr lang="zh-CN">
          <a:solidFill>
            <a:sysClr val="windowText" lastClr="000000"/>
          </a:solidFill>
        </a:defRPr>
      </a:pPr>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8599945949166"/>
          <c:y val="0.0163854801168723"/>
          <c:w val="0.617121973677341"/>
          <c:h val="0.949013987580821"/>
        </c:manualLayout>
      </c:layout>
      <c:barChart>
        <c:barDir val="bar"/>
        <c:grouping val="clustered"/>
        <c:varyColors val="0"/>
        <c:ser>
          <c:idx val="0"/>
          <c:order val="0"/>
          <c:tx>
            <c:strRef>
              <c:f>Sheet1!$B$1</c:f>
              <c:strCache>
                <c:ptCount val="1"/>
                <c:pt idx="0">
                  <c:v>1</c:v>
                </c:pt>
              </c:strCache>
            </c:strRef>
          </c:tx>
          <c:spPr>
            <a:solidFill>
              <a:srgbClr val="0F6FC6"/>
            </a:solidFill>
            <a:ln>
              <a:solidFill>
                <a:srgbClr val="0F6FC6"/>
              </a:solidFill>
            </a:ln>
            <a:effectLst/>
          </c:spPr>
          <c:invertIfNegative val="0"/>
          <c:dPt>
            <c:idx val="0"/>
            <c:invertIfNegative val="0"/>
            <c:bubble3D val="0"/>
            <c:spPr>
              <a:solidFill>
                <a:srgbClr val="0F6FC6"/>
              </a:solidFill>
              <a:ln>
                <a:solidFill>
                  <a:srgbClr val="0F6FC6"/>
                </a:solidFill>
              </a:ln>
              <a:effectLst/>
            </c:spPr>
          </c:dPt>
          <c:dPt>
            <c:idx val="1"/>
            <c:invertIfNegative val="0"/>
            <c:bubble3D val="0"/>
            <c:spPr>
              <a:solidFill>
                <a:srgbClr val="0F6FC6"/>
              </a:solidFill>
              <a:ln>
                <a:solidFill>
                  <a:srgbClr val="0F6FC6"/>
                </a:solidFill>
              </a:ln>
              <a:effectLst/>
            </c:spPr>
          </c:dPt>
          <c:dPt>
            <c:idx val="2"/>
            <c:invertIfNegative val="0"/>
            <c:bubble3D val="0"/>
            <c:spPr>
              <a:solidFill>
                <a:srgbClr val="0F6FC6"/>
              </a:solidFill>
              <a:ln>
                <a:solidFill>
                  <a:srgbClr val="0F6FC6"/>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ysClr val="windowText" lastClr="000000">
                          <a:shade val="95000"/>
                          <a:satMod val="105000"/>
                        </a:sysClr>
                      </a:solidFill>
                      <a:prstDash val="solid"/>
                      <a:round/>
                    </a:ln>
                    <a:effectLst/>
                  </c:spPr>
                </c15:leaderLines>
              </c:ext>
            </c:extLst>
          </c:dLbls>
          <c:cat>
            <c:strRef>
              <c:f>Sheet1!$A$2:$A$8</c:f>
              <c:strCache>
                <c:ptCount val="7"/>
                <c:pt idx="0">
                  <c:v>工作单位倒闭</c:v>
                </c:pt>
                <c:pt idx="1">
                  <c:v>被单位裁员或解聘</c:v>
                </c:pt>
                <c:pt idx="2">
                  <c:v>其他</c:v>
                </c:pt>
                <c:pt idx="3">
                  <c:v>工作内容不喜欢</c:v>
                </c:pt>
                <c:pt idx="4">
                  <c:v>单位氛围不好</c:v>
                </c:pt>
                <c:pt idx="5">
                  <c:v>工资福利较差</c:v>
                </c:pt>
                <c:pt idx="6">
                  <c:v>发展前景有限</c:v>
                </c:pt>
              </c:strCache>
            </c:strRef>
          </c:cat>
          <c:val>
            <c:numRef>
              <c:f>Sheet1!$B$2:$B$8</c:f>
              <c:numCache>
                <c:formatCode>0.00%</c:formatCode>
                <c:ptCount val="7"/>
                <c:pt idx="0">
                  <c:v>0.0195</c:v>
                </c:pt>
                <c:pt idx="1">
                  <c:v>0.0428</c:v>
                </c:pt>
                <c:pt idx="2">
                  <c:v>0.0934</c:v>
                </c:pt>
                <c:pt idx="3">
                  <c:v>0.1284</c:v>
                </c:pt>
                <c:pt idx="4">
                  <c:v>0.1868</c:v>
                </c:pt>
                <c:pt idx="5">
                  <c:v>0.2529</c:v>
                </c:pt>
                <c:pt idx="6">
                  <c:v>0.2763</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972182824"/>
        <c:crosses val="autoZero"/>
        <c:auto val="1"/>
        <c:lblAlgn val="ctr"/>
        <c:lblOffset val="100"/>
        <c:noMultiLvlLbl val="0"/>
      </c:catAx>
      <c:valAx>
        <c:axId val="972182824"/>
        <c:scaling>
          <c:orientation val="minMax"/>
          <c:max val="0.3"/>
          <c:min val="0"/>
        </c:scaling>
        <c:delete val="0"/>
        <c:axPos val="b"/>
        <c:numFmt formatCode="0.00%" sourceLinked="1"/>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972182432"/>
        <c:crosses val="autoZero"/>
        <c:crossBetween val="between"/>
        <c:majorUnit val="0.1"/>
      </c:valAx>
      <c:spPr>
        <a:solidFill>
          <a:sysClr val="window" lastClr="FFFFFF"/>
        </a:solidFill>
        <a:ln>
          <a:noFill/>
        </a:ln>
        <a:effectLst/>
      </c:spPr>
    </c:plotArea>
    <c:plotVisOnly val="1"/>
    <c:dispBlanksAs val="gap"/>
    <c:showDLblsOverMax val="0"/>
  </c:chart>
  <c:spPr>
    <a:solidFill>
      <a:sysClr val="window" lastClr="FFFFFF"/>
    </a:solidFill>
    <a:ln w="9525" cap="flat" cmpd="sng" algn="ctr">
      <a:noFill/>
      <a:prstDash val="solid"/>
      <a:round/>
    </a:ln>
    <a:effectLst/>
  </c:spPr>
  <c:txPr>
    <a:bodyPr/>
    <a:lstStyle/>
    <a:p>
      <a:pPr>
        <a:defRPr lang="zh-CN"/>
      </a:pPr>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Sheet1!$B$1</c:f>
              <c:strCache>
                <c:ptCount val="1"/>
                <c:pt idx="0">
                  <c:v>稳定度</c:v>
                </c:pt>
              </c:strCache>
            </c:strRef>
          </c:tx>
          <c:spPr>
            <a:solidFill>
              <a:srgbClr val="0F6FC6"/>
            </a:solidFill>
            <a:ln>
              <a:solidFill>
                <a:srgbClr val="0F6FC6"/>
              </a:solidFill>
            </a:ln>
          </c:spPr>
          <c:invertIfNegative val="1"/>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 lastClr="FFFFFF"/>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Sheet1!$A$2:$A$12</c:f>
              <c:strCache>
                <c:ptCount val="11"/>
                <c:pt idx="0">
                  <c:v>*传媒与音乐学院</c:v>
                </c:pt>
                <c:pt idx="1">
                  <c:v>设计学院</c:v>
                </c:pt>
                <c:pt idx="2">
                  <c:v>信息工程学院</c:v>
                </c:pt>
                <c:pt idx="3">
                  <c:v>城建学院</c:v>
                </c:pt>
                <c:pt idx="4">
                  <c:v>财经学院</c:v>
                </c:pt>
                <c:pt idx="5">
                  <c:v>临床医药学院</c:v>
                </c:pt>
                <c:pt idx="6">
                  <c:v>国际护理学院</c:v>
                </c:pt>
                <c:pt idx="7">
                  <c:v>机电工程学院</c:v>
                </c:pt>
                <c:pt idx="8">
                  <c:v>健康科学学院</c:v>
                </c:pt>
                <c:pt idx="9">
                  <c:v>海事学院</c:v>
                </c:pt>
                <c:pt idx="10">
                  <c:v>化学与材料工程学院</c:v>
                </c:pt>
              </c:strCache>
            </c:strRef>
          </c:cat>
          <c:val>
            <c:numRef>
              <c:f>Sheet1!$B$2:$B$12</c:f>
              <c:numCache>
                <c:formatCode>0.00%</c:formatCode>
                <c:ptCount val="11"/>
                <c:pt idx="0">
                  <c:v>0.75</c:v>
                </c:pt>
                <c:pt idx="1">
                  <c:v>0.3571</c:v>
                </c:pt>
                <c:pt idx="2">
                  <c:v>0.4074</c:v>
                </c:pt>
                <c:pt idx="3">
                  <c:v>0.48</c:v>
                </c:pt>
                <c:pt idx="4">
                  <c:v>0.5</c:v>
                </c:pt>
                <c:pt idx="5">
                  <c:v>0.5636</c:v>
                </c:pt>
                <c:pt idx="6">
                  <c:v>0.5636</c:v>
                </c:pt>
                <c:pt idx="7">
                  <c:v>0.5844</c:v>
                </c:pt>
                <c:pt idx="8">
                  <c:v>0.6154</c:v>
                </c:pt>
                <c:pt idx="9">
                  <c:v>0.7368</c:v>
                </c:pt>
                <c:pt idx="10">
                  <c:v>0.881</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Sheet1!$C$1</c:f>
              <c:strCache>
                <c:ptCount val="1"/>
                <c:pt idx="0">
                  <c:v>离职率</c:v>
                </c:pt>
              </c:strCache>
            </c:strRef>
          </c:tx>
          <c:spPr>
            <a:solidFill>
              <a:srgbClr val="C6D9F1"/>
            </a:solidFill>
            <a:ln>
              <a:noFill/>
            </a:ln>
          </c:spPr>
          <c:invertIfNegative val="1"/>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 lastClr="FFFFFF"/>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Sheet1!$A$2:$A$12</c:f>
              <c:strCache>
                <c:ptCount val="11"/>
                <c:pt idx="0">
                  <c:v>*传媒与音乐学院</c:v>
                </c:pt>
                <c:pt idx="1">
                  <c:v>设计学院</c:v>
                </c:pt>
                <c:pt idx="2">
                  <c:v>信息工程学院</c:v>
                </c:pt>
                <c:pt idx="3">
                  <c:v>城建学院</c:v>
                </c:pt>
                <c:pt idx="4">
                  <c:v>财经学院</c:v>
                </c:pt>
                <c:pt idx="5">
                  <c:v>临床医药学院</c:v>
                </c:pt>
                <c:pt idx="6">
                  <c:v>国际护理学院</c:v>
                </c:pt>
                <c:pt idx="7">
                  <c:v>机电工程学院</c:v>
                </c:pt>
                <c:pt idx="8">
                  <c:v>健康科学学院</c:v>
                </c:pt>
                <c:pt idx="9">
                  <c:v>海事学院</c:v>
                </c:pt>
                <c:pt idx="10">
                  <c:v>化学与材料工程学院</c:v>
                </c:pt>
              </c:strCache>
            </c:strRef>
          </c:cat>
          <c:val>
            <c:numRef>
              <c:f>Sheet1!$C$2:$C$12</c:f>
              <c:numCache>
                <c:formatCode>0.00%</c:formatCode>
                <c:ptCount val="11"/>
                <c:pt idx="0">
                  <c:v>0.25</c:v>
                </c:pt>
                <c:pt idx="1">
                  <c:v>0.6429</c:v>
                </c:pt>
                <c:pt idx="2">
                  <c:v>0.5926</c:v>
                </c:pt>
                <c:pt idx="3">
                  <c:v>0.52</c:v>
                </c:pt>
                <c:pt idx="4">
                  <c:v>0.5</c:v>
                </c:pt>
                <c:pt idx="5">
                  <c:v>0.4364</c:v>
                </c:pt>
                <c:pt idx="6">
                  <c:v>0.4364</c:v>
                </c:pt>
                <c:pt idx="7">
                  <c:v>0.4156</c:v>
                </c:pt>
                <c:pt idx="8">
                  <c:v>0.3846</c:v>
                </c:pt>
                <c:pt idx="9">
                  <c:v>0.2632</c:v>
                </c:pt>
                <c:pt idx="10">
                  <c:v>0.119</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1"/>
          <c:showCatName val="0"/>
          <c:showSerName val="0"/>
          <c:showPercent val="0"/>
          <c:showBubbleSize val="0"/>
        </c:dLbls>
        <c:gapWidth val="100"/>
        <c:overlap val="100"/>
        <c:axId val="608997592"/>
        <c:axId val="608997984"/>
      </c:barChart>
      <c:catAx>
        <c:axId val="608997592"/>
        <c:scaling>
          <c:orientation val="minMax"/>
        </c:scaling>
        <c:delete val="0"/>
        <c:axPos val="l"/>
        <c:numFmt formatCode="General" sourceLinked="1"/>
        <c:majorTickMark val="none"/>
        <c:minorTickMark val="none"/>
        <c:tickLblPos val="nextTo"/>
        <c:spPr>
          <a:noFill/>
          <a:ln w="9525" cap="flat" cmpd="sng" algn="ctr">
            <a:solidFill>
              <a:sysClr val="window" lastClr="FFFFFF">
                <a:lumMod val="50000"/>
              </a:sysClr>
            </a:solidFill>
            <a:prstDash val="solid"/>
            <a:round/>
          </a:ln>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608997984"/>
        <c:crosses val="autoZero"/>
        <c:auto val="1"/>
        <c:lblAlgn val="ctr"/>
        <c:lblOffset val="100"/>
        <c:noMultiLvlLbl val="0"/>
      </c:catAx>
      <c:valAx>
        <c:axId val="608997984"/>
        <c:scaling>
          <c:orientation val="minMax"/>
          <c:min val="0"/>
        </c:scaling>
        <c:delete val="0"/>
        <c:axPos val="b"/>
        <c:numFmt formatCode="0%" sourceLinked="1"/>
        <c:majorTickMark val="in"/>
        <c:minorTickMark val="none"/>
        <c:tickLblPos val="nextTo"/>
        <c:spPr>
          <a:noFill/>
          <a:ln w="9525" cap="flat" cmpd="sng" algn="ctr">
            <a:solidFill>
              <a:sysClr val="window" lastClr="FFFFFF">
                <a:lumMod val="50000"/>
              </a:sysClr>
            </a:solidFill>
            <a:prstDash val="solid"/>
            <a:round/>
          </a:ln>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608997592"/>
        <c:crosses val="autoZero"/>
        <c:crossBetween val="between"/>
      </c:valAx>
      <c:spPr>
        <a:noFill/>
        <a:ln>
          <a:noFill/>
        </a:ln>
      </c:spPr>
    </c:plotArea>
    <c:legend>
      <c:legendPos val="t"/>
      <c:layout/>
      <c:overlay val="0"/>
      <c:spPr>
        <a:noFill/>
        <a:ln>
          <a:noFill/>
        </a:ln>
      </c:spPr>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legend>
    <c:plotVisOnly val="1"/>
    <c:dispBlanksAs val="gap"/>
    <c:showDLblsOverMax val="0"/>
  </c:chart>
  <c:spPr>
    <a:solidFill>
      <a:sysClr val="window" lastClr="FFFFFF"/>
    </a:solidFill>
    <a:ln w="9525" cap="flat" cmpd="sng" algn="ctr">
      <a:noFill/>
      <a:prstDash val="solid"/>
      <a:round/>
    </a:ln>
  </c:spPr>
  <c:txPr>
    <a:bodyPr/>
    <a:lstStyle/>
    <a:p>
      <a:pPr>
        <a:defRPr lang="zh-CN"/>
      </a:pPr>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66084355734603"/>
          <c:y val="0.144896635111622"/>
          <c:w val="0.857141111177897"/>
          <c:h val="0.748613218802195"/>
        </c:manualLayout>
      </c:layout>
      <c:pieChart>
        <c:varyColors val="1"/>
        <c:ser>
          <c:idx val="0"/>
          <c:order val="0"/>
          <c:tx>
            <c:strRef>
              <c:f>Sheet1!$B$1</c:f>
              <c:strCache>
                <c:ptCount val="1"/>
                <c:pt idx="0">
                  <c:v>就业地区分布</c:v>
                </c:pt>
              </c:strCache>
            </c:strRef>
          </c:tx>
          <c:explosion val="0"/>
          <c:dPt>
            <c:idx val="0"/>
            <c:bubble3D val="0"/>
            <c:spPr>
              <a:solidFill>
                <a:srgbClr val="0F6FC6"/>
              </a:solidFill>
              <a:ln w="19050">
                <a:solidFill>
                  <a:sysClr val="window" lastClr="FFFFFF"/>
                </a:solidFill>
              </a:ln>
              <a:effectLst/>
            </c:spPr>
          </c:dPt>
          <c:dPt>
            <c:idx val="1"/>
            <c:bubble3D val="0"/>
            <c:spPr>
              <a:solidFill>
                <a:srgbClr val="009DD9"/>
              </a:solidFill>
              <a:ln w="19050">
                <a:solidFill>
                  <a:sysClr val="window" lastClr="FFFFFF"/>
                </a:solidFill>
              </a:ln>
              <a:effectLst/>
            </c:spPr>
          </c:dPt>
          <c:dLbls>
            <c:dLbl>
              <c:idx val="0"/>
              <c:layout>
                <c:manualLayout>
                  <c:x val="0.00552643705796317"/>
                  <c:y val="0.00116774039608685"/>
                </c:manualLayout>
              </c:layout>
              <c:numFmt formatCode="0.00%" sourceLinked="0"/>
              <c:spPr>
                <a:noFill/>
                <a:ln>
                  <a:noFill/>
                </a:ln>
                <a:effectLst/>
              </c:spPr>
              <c:txPr>
                <a:bodyPr rot="0" spcFirstLastPara="1" vertOverflow="clip" horzOverflow="clip" vert="horz" wrap="square" lIns="36576" tIns="18288" rIns="36576" bIns="18288" anchor="ctr" anchorCtr="1">
                  <a:sp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0386687834997637"/>
                  <c:y val="-0.0433976377952756"/>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p>
            </c:txPr>
            <c:dLblPos val="bestFit"/>
            <c:showLegendKey val="0"/>
            <c:showVal val="1"/>
            <c:showCatName val="1"/>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省内就业</c:v>
                </c:pt>
                <c:pt idx="1">
                  <c:v>省外就业</c:v>
                </c:pt>
              </c:strCache>
            </c:strRef>
          </c:cat>
          <c:val>
            <c:numRef>
              <c:f>Sheet1!$B$2:$B$3</c:f>
              <c:numCache>
                <c:formatCode>General</c:formatCode>
                <c:ptCount val="2"/>
                <c:pt idx="0">
                  <c:v>0.6336</c:v>
                </c:pt>
                <c:pt idx="1">
                  <c:v>0.3664</c:v>
                </c:pt>
              </c:numCache>
            </c:numRef>
          </c:val>
        </c:ser>
        <c:dLbls>
          <c:showLegendKey val="0"/>
          <c:showVal val="0"/>
          <c:showCatName val="0"/>
          <c:showSerName val="0"/>
          <c:showPercent val="0"/>
          <c:showBubbleSize val="0"/>
          <c:showLeaderLines val="0"/>
        </c:dLbls>
        <c:firstSliceAng val="0"/>
      </c:pieChart>
      <c:spPr>
        <a:noFill/>
        <a:ln>
          <a:noFill/>
        </a:ln>
      </c:spPr>
    </c:plotArea>
    <c:plotVisOnly val="1"/>
    <c:dispBlanksAs val="gap"/>
    <c:showDLblsOverMax val="0"/>
  </c:chart>
  <c:spPr>
    <a:solidFill>
      <a:sysClr val="window" lastClr="FFFFFF"/>
    </a:solidFill>
    <a:ln w="9525" cap="flat" cmpd="sng" algn="ctr">
      <a:solidFill>
        <a:sysClr val="window" lastClr="FFFFFF"/>
      </a:solidFill>
      <a:prstDash val="solid"/>
      <a:round/>
    </a:ln>
  </c:spPr>
  <c:txPr>
    <a:bodyPr/>
    <a:lstStyle/>
    <a:p>
      <a:pPr>
        <a:defRPr lang="zh-CN">
          <a:solidFill>
            <a:sysClr val="windowText" lastClr="000000"/>
          </a:solidFill>
        </a:defRPr>
      </a:pPr>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8599945949166"/>
          <c:y val="0.0163854801168723"/>
          <c:w val="0.617121973677341"/>
          <c:h val="0.949013987580821"/>
        </c:manualLayout>
      </c:layout>
      <c:barChart>
        <c:barDir val="bar"/>
        <c:grouping val="clustered"/>
        <c:varyColors val="0"/>
        <c:ser>
          <c:idx val="0"/>
          <c:order val="0"/>
          <c:tx>
            <c:strRef>
              <c:f>Sheet1!$B$1</c:f>
              <c:strCache>
                <c:ptCount val="1"/>
                <c:pt idx="0">
                  <c:v>占比</c:v>
                </c:pt>
              </c:strCache>
            </c:strRef>
          </c:tx>
          <c:spPr>
            <a:solidFill>
              <a:srgbClr val="0F6FC6"/>
            </a:solidFill>
            <a:ln>
              <a:solidFill>
                <a:srgbClr val="0F6FC6"/>
              </a:solidFill>
            </a:ln>
            <a:effectLst/>
          </c:spPr>
          <c:invertIfNegative val="0"/>
          <c:dPt>
            <c:idx val="0"/>
            <c:invertIfNegative val="0"/>
            <c:bubble3D val="0"/>
            <c:spPr>
              <a:solidFill>
                <a:srgbClr val="0F6FC6"/>
              </a:solidFill>
              <a:ln>
                <a:solidFill>
                  <a:srgbClr val="0F6FC6"/>
                </a:solidFill>
              </a:ln>
              <a:effectLst/>
            </c:spPr>
          </c:dPt>
          <c:dPt>
            <c:idx val="1"/>
            <c:invertIfNegative val="0"/>
            <c:bubble3D val="0"/>
            <c:spPr>
              <a:solidFill>
                <a:srgbClr val="0F6FC6"/>
              </a:solidFill>
              <a:ln>
                <a:solidFill>
                  <a:srgbClr val="0F6FC6"/>
                </a:solidFill>
              </a:ln>
              <a:effectLst/>
            </c:spPr>
          </c:dPt>
          <c:dPt>
            <c:idx val="2"/>
            <c:invertIfNegative val="0"/>
            <c:bubble3D val="0"/>
            <c:spPr>
              <a:solidFill>
                <a:srgbClr val="0F6FC6"/>
              </a:solidFill>
              <a:ln>
                <a:solidFill>
                  <a:srgbClr val="0F6FC6"/>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ysClr val="windowText" lastClr="000000">
                          <a:shade val="95000"/>
                          <a:satMod val="105000"/>
                        </a:sysClr>
                      </a:solidFill>
                      <a:prstDash val="solid"/>
                      <a:round/>
                    </a:ln>
                    <a:effectLst/>
                  </c:spPr>
                </c15:leaderLines>
              </c:ext>
            </c:extLst>
          </c:dLbls>
          <c:cat>
            <c:strRef>
              <c:f>Sheet1!$A$2:$A$11</c:f>
              <c:strCache>
                <c:ptCount val="10"/>
                <c:pt idx="0">
                  <c:v>河北省</c:v>
                </c:pt>
                <c:pt idx="1">
                  <c:v>重庆市</c:v>
                </c:pt>
                <c:pt idx="2">
                  <c:v>浙江省</c:v>
                </c:pt>
                <c:pt idx="3">
                  <c:v>湖北省</c:v>
                </c:pt>
                <c:pt idx="4">
                  <c:v>广西壮族自治区</c:v>
                </c:pt>
                <c:pt idx="5">
                  <c:v>云南省</c:v>
                </c:pt>
                <c:pt idx="6">
                  <c:v>贵州省</c:v>
                </c:pt>
                <c:pt idx="7">
                  <c:v>福建省</c:v>
                </c:pt>
                <c:pt idx="8">
                  <c:v>广东省</c:v>
                </c:pt>
                <c:pt idx="9">
                  <c:v>海南省</c:v>
                </c:pt>
              </c:strCache>
            </c:strRef>
          </c:cat>
          <c:val>
            <c:numRef>
              <c:f>Sheet1!$B$2:$B$11</c:f>
              <c:numCache>
                <c:formatCode>0.00%</c:formatCode>
                <c:ptCount val="10"/>
                <c:pt idx="0">
                  <c:v>0.0117</c:v>
                </c:pt>
                <c:pt idx="1">
                  <c:v>0.0169</c:v>
                </c:pt>
                <c:pt idx="2">
                  <c:v>0.0183</c:v>
                </c:pt>
                <c:pt idx="3">
                  <c:v>0.0209</c:v>
                </c:pt>
                <c:pt idx="4">
                  <c:v>0.0235</c:v>
                </c:pt>
                <c:pt idx="5">
                  <c:v>0.0248</c:v>
                </c:pt>
                <c:pt idx="6">
                  <c:v>0.0274</c:v>
                </c:pt>
                <c:pt idx="7">
                  <c:v>0.0287</c:v>
                </c:pt>
                <c:pt idx="8">
                  <c:v>0.0756</c:v>
                </c:pt>
                <c:pt idx="9">
                  <c:v>0.6336</c:v>
                </c:pt>
              </c:numCache>
            </c:numRef>
          </c:val>
        </c:ser>
        <c:dLbls>
          <c:showLegendKey val="0"/>
          <c:showVal val="0"/>
          <c:showCatName val="0"/>
          <c:showSerName val="0"/>
          <c:showPercent val="0"/>
          <c:showBubbleSize val="0"/>
        </c:dLbls>
        <c:gapWidth val="99"/>
        <c:axId val="388741360"/>
        <c:axId val="388748976"/>
      </c:barChart>
      <c:catAx>
        <c:axId val="388741360"/>
        <c:scaling>
          <c:orientation val="minMax"/>
        </c:scaling>
        <c:delete val="0"/>
        <c:axPos val="l"/>
        <c:numFmt formatCode="General" sourceLinked="0"/>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388748976"/>
        <c:crosses val="autoZero"/>
        <c:auto val="1"/>
        <c:lblAlgn val="ctr"/>
        <c:lblOffset val="100"/>
        <c:noMultiLvlLbl val="0"/>
      </c:catAx>
      <c:valAx>
        <c:axId val="388748976"/>
        <c:scaling>
          <c:orientation val="minMax"/>
          <c:min val="0"/>
        </c:scaling>
        <c:delete val="0"/>
        <c:axPos val="b"/>
        <c:numFmt formatCode="0.00%" sourceLinked="1"/>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388741360"/>
        <c:crosses val="autoZero"/>
        <c:crossBetween val="between"/>
        <c:majorUnit val="0.2"/>
        <c:minorUnit val="0.001"/>
      </c:valAx>
      <c:spPr>
        <a:solidFill>
          <a:sysClr val="window" lastClr="FFFFFF"/>
        </a:solidFill>
        <a:ln>
          <a:noFill/>
        </a:ln>
        <a:effectLst/>
      </c:spPr>
    </c:plotArea>
    <c:plotVisOnly val="1"/>
    <c:dispBlanksAs val="gap"/>
    <c:showDLblsOverMax val="0"/>
  </c:chart>
  <c:spPr>
    <a:solidFill>
      <a:sysClr val="window" lastClr="FFFFFF"/>
    </a:solidFill>
    <a:ln w="9525" cap="flat" cmpd="sng" algn="ctr">
      <a:noFill/>
      <a:prstDash val="solid"/>
      <a:round/>
    </a:ln>
    <a:effectLst/>
  </c:spPr>
  <c:txPr>
    <a:bodyPr/>
    <a:lstStyle/>
    <a:p>
      <a:pPr>
        <a:defRPr lang="zh-CN"/>
      </a:pPr>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8599945949166"/>
          <c:y val="0.0163854801168723"/>
          <c:w val="0.617121973677341"/>
          <c:h val="0.949013987580821"/>
        </c:manualLayout>
      </c:layout>
      <c:barChart>
        <c:barDir val="bar"/>
        <c:grouping val="clustered"/>
        <c:varyColors val="0"/>
        <c:ser>
          <c:idx val="0"/>
          <c:order val="0"/>
          <c:tx>
            <c:strRef>
              <c:f>Sheet1!$B$1</c:f>
              <c:strCache>
                <c:ptCount val="1"/>
                <c:pt idx="0">
                  <c:v>占比</c:v>
                </c:pt>
              </c:strCache>
            </c:strRef>
          </c:tx>
          <c:spPr>
            <a:solidFill>
              <a:srgbClr val="0F6FC6"/>
            </a:solidFill>
            <a:ln>
              <a:solidFill>
                <a:srgbClr val="0F6FC6"/>
              </a:solidFill>
            </a:ln>
          </c:spPr>
          <c:invertIfNegative val="0"/>
          <c:dPt>
            <c:idx val="0"/>
            <c:invertIfNegative val="0"/>
            <c:bubble3D val="0"/>
          </c:dPt>
          <c:dPt>
            <c:idx val="1"/>
            <c:invertIfNegative val="0"/>
            <c:bubble3D val="0"/>
          </c:dPt>
          <c:dPt>
            <c:idx val="2"/>
            <c:invertIfNegative val="0"/>
            <c:bubble3D val="0"/>
          </c:dPt>
          <c:dPt>
            <c:idx val="11"/>
            <c:invertIfNegative val="0"/>
            <c:bubble3D val="0"/>
          </c:dPt>
          <c:dPt>
            <c:idx val="16"/>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Sheet1!$A$2:$A$20</c:f>
              <c:strCache>
                <c:ptCount val="19"/>
                <c:pt idx="0">
                  <c:v>乐东黎族自治县</c:v>
                </c:pt>
                <c:pt idx="1">
                  <c:v>三沙市</c:v>
                </c:pt>
                <c:pt idx="2">
                  <c:v>临高县</c:v>
                </c:pt>
                <c:pt idx="3">
                  <c:v>琼中黎族苗族自治县</c:v>
                </c:pt>
                <c:pt idx="4">
                  <c:v>屯昌县</c:v>
                </c:pt>
                <c:pt idx="5">
                  <c:v>保亭黎族苗族自治县</c:v>
                </c:pt>
                <c:pt idx="6">
                  <c:v>定安县</c:v>
                </c:pt>
                <c:pt idx="7">
                  <c:v>昌江黎族自治县</c:v>
                </c:pt>
                <c:pt idx="8">
                  <c:v>白沙黎族自治县</c:v>
                </c:pt>
                <c:pt idx="9">
                  <c:v>五指山市</c:v>
                </c:pt>
                <c:pt idx="10">
                  <c:v>文昌市</c:v>
                </c:pt>
                <c:pt idx="11">
                  <c:v>澄迈县</c:v>
                </c:pt>
                <c:pt idx="12">
                  <c:v>陵水黎族自治县</c:v>
                </c:pt>
                <c:pt idx="13">
                  <c:v>东方市</c:v>
                </c:pt>
                <c:pt idx="14">
                  <c:v>万宁市</c:v>
                </c:pt>
                <c:pt idx="15">
                  <c:v>琼海市</c:v>
                </c:pt>
                <c:pt idx="16">
                  <c:v>儋州市</c:v>
                </c:pt>
                <c:pt idx="17">
                  <c:v>三亚市</c:v>
                </c:pt>
                <c:pt idx="18">
                  <c:v>海口市</c:v>
                </c:pt>
              </c:strCache>
            </c:strRef>
          </c:cat>
          <c:val>
            <c:numRef>
              <c:f>Sheet1!$B$2:$B$20</c:f>
              <c:numCache>
                <c:formatCode>0.00%</c:formatCode>
                <c:ptCount val="19"/>
                <c:pt idx="0">
                  <c:v>0.0021</c:v>
                </c:pt>
                <c:pt idx="1">
                  <c:v>0.0041</c:v>
                </c:pt>
                <c:pt idx="2">
                  <c:v>0.0062</c:v>
                </c:pt>
                <c:pt idx="3">
                  <c:v>0.0082</c:v>
                </c:pt>
                <c:pt idx="4">
                  <c:v>0.0082</c:v>
                </c:pt>
                <c:pt idx="5">
                  <c:v>0.0082</c:v>
                </c:pt>
                <c:pt idx="6">
                  <c:v>0.0103</c:v>
                </c:pt>
                <c:pt idx="7">
                  <c:v>0.0123</c:v>
                </c:pt>
                <c:pt idx="8">
                  <c:v>0.0185</c:v>
                </c:pt>
                <c:pt idx="9">
                  <c:v>0.0247</c:v>
                </c:pt>
                <c:pt idx="10">
                  <c:v>0.0247</c:v>
                </c:pt>
                <c:pt idx="11">
                  <c:v>0.0267</c:v>
                </c:pt>
                <c:pt idx="12">
                  <c:v>0.0309</c:v>
                </c:pt>
                <c:pt idx="13">
                  <c:v>0.0329</c:v>
                </c:pt>
                <c:pt idx="14">
                  <c:v>0.035</c:v>
                </c:pt>
                <c:pt idx="15">
                  <c:v>0.0391</c:v>
                </c:pt>
                <c:pt idx="16">
                  <c:v>0.0556</c:v>
                </c:pt>
                <c:pt idx="17">
                  <c:v>0.1872</c:v>
                </c:pt>
                <c:pt idx="18">
                  <c:v>0.465</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ysClr val="windowText" lastClr="000000">
                <a:tint val="75000"/>
                <a:shade val="95000"/>
                <a:satMod val="105000"/>
              </a:sysClr>
            </a:solidFill>
            <a:prstDash val="solid"/>
            <a:round/>
          </a:ln>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972182824"/>
        <c:crosses val="autoZero"/>
        <c:auto val="1"/>
        <c:lblAlgn val="ctr"/>
        <c:lblOffset val="100"/>
        <c:noMultiLvlLbl val="0"/>
      </c:catAx>
      <c:valAx>
        <c:axId val="972182824"/>
        <c:scaling>
          <c:orientation val="minMax"/>
          <c:max val="0.8"/>
          <c:min val="0"/>
        </c:scaling>
        <c:delete val="0"/>
        <c:axPos val="b"/>
        <c:numFmt formatCode="0.00%" sourceLinked="1"/>
        <c:majorTickMark val="in"/>
        <c:minorTickMark val="none"/>
        <c:tickLblPos val="nextTo"/>
        <c:spPr>
          <a:noFill/>
          <a:ln w="9525" cap="flat" cmpd="sng" algn="ctr">
            <a:solidFill>
              <a:sysClr val="windowText" lastClr="000000">
                <a:tint val="75000"/>
                <a:shade val="95000"/>
                <a:satMod val="105000"/>
              </a:sysClr>
            </a:solidFill>
            <a:prstDash val="solid"/>
            <a:round/>
          </a:ln>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972182432"/>
        <c:crosses val="autoZero"/>
        <c:crossBetween val="between"/>
        <c:majorUnit val="0.2"/>
      </c:valAx>
      <c:spPr>
        <a:solidFill>
          <a:sysClr val="window" lastClr="FFFFFF"/>
        </a:solidFill>
        <a:ln>
          <a:noFill/>
        </a:ln>
      </c:spPr>
    </c:plotArea>
    <c:plotVisOnly val="1"/>
    <c:dispBlanksAs val="gap"/>
    <c:showDLblsOverMax val="0"/>
  </c:chart>
  <c:spPr>
    <a:solidFill>
      <a:sysClr val="window" lastClr="FFFFFF"/>
    </a:solidFill>
    <a:ln w="9525" cap="flat" cmpd="sng" algn="ctr">
      <a:noFill/>
      <a:prstDash val="solid"/>
      <a:round/>
    </a:ln>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8599945949166"/>
          <c:y val="0.0163854801168723"/>
          <c:w val="0.617121973677341"/>
          <c:h val="0.855892432050645"/>
        </c:manualLayout>
      </c:layout>
      <c:barChart>
        <c:barDir val="bar"/>
        <c:grouping val="clustered"/>
        <c:varyColors val="0"/>
        <c:ser>
          <c:idx val="0"/>
          <c:order val="0"/>
          <c:tx>
            <c:strRef>
              <c:f>Sheet1!$B$1</c:f>
              <c:strCache>
                <c:ptCount val="1"/>
                <c:pt idx="0">
                  <c:v>调查毕业去向落实率</c:v>
                </c:pt>
              </c:strCache>
            </c:strRef>
          </c:tx>
          <c:spPr>
            <a:solidFill>
              <a:srgbClr val="17406D">
                <a:lumMod val="60000"/>
                <a:lumOff val="40000"/>
              </a:srgbClr>
            </a:solidFill>
            <a:ln>
              <a:solidFill>
                <a:srgbClr val="2588A4"/>
              </a:solidFill>
            </a:ln>
            <a:effectLst/>
          </c:spPr>
          <c:invertIfNegative val="0"/>
          <c:dPt>
            <c:idx val="0"/>
            <c:invertIfNegative val="0"/>
            <c:bubble3D val="0"/>
            <c:spPr>
              <a:solidFill>
                <a:srgbClr val="17406D">
                  <a:lumMod val="60000"/>
                  <a:lumOff val="40000"/>
                </a:srgbClr>
              </a:solidFill>
              <a:ln>
                <a:solidFill>
                  <a:srgbClr val="2588A4"/>
                </a:solidFill>
              </a:ln>
              <a:effectLst/>
            </c:spPr>
          </c:dPt>
          <c:dPt>
            <c:idx val="1"/>
            <c:invertIfNegative val="0"/>
            <c:bubble3D val="0"/>
            <c:spPr>
              <a:solidFill>
                <a:srgbClr val="17406D">
                  <a:lumMod val="60000"/>
                  <a:lumOff val="40000"/>
                </a:srgbClr>
              </a:solidFill>
              <a:ln>
                <a:solidFill>
                  <a:srgbClr val="2588A4"/>
                </a:solidFill>
              </a:ln>
              <a:effectLst/>
            </c:spPr>
          </c:dPt>
          <c:dPt>
            <c:idx val="2"/>
            <c:invertIfNegative val="0"/>
            <c:bubble3D val="0"/>
          </c:dPt>
          <c:dPt>
            <c:idx val="4"/>
            <c:invertIfNegative val="0"/>
            <c:bubble3D val="0"/>
            <c:spPr>
              <a:solidFill>
                <a:srgbClr val="17406D">
                  <a:lumMod val="60000"/>
                  <a:lumOff val="40000"/>
                </a:srgbClr>
              </a:solidFill>
              <a:ln>
                <a:solidFill>
                  <a:srgbClr val="2588A4"/>
                </a:solidFill>
              </a:ln>
              <a:effectLst/>
            </c:spPr>
          </c:dPt>
          <c:dPt>
            <c:idx val="6"/>
            <c:invertIfNegative val="0"/>
            <c:bubble3D val="0"/>
            <c:spPr>
              <a:solidFill>
                <a:srgbClr val="17406D">
                  <a:lumMod val="60000"/>
                  <a:lumOff val="40000"/>
                </a:srgbClr>
              </a:solidFill>
              <a:ln>
                <a:solidFill>
                  <a:srgbClr val="0F6FC6"/>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ysClr val="windowText" lastClr="000000">
                          <a:shade val="95000"/>
                          <a:satMod val="105000"/>
                        </a:sysClr>
                      </a:solidFill>
                      <a:prstDash val="solid"/>
                      <a:round/>
                    </a:ln>
                    <a:effectLst/>
                  </c:spPr>
                </c15:leaderLines>
              </c:ext>
            </c:extLst>
          </c:dLbls>
          <c:cat>
            <c:strRef>
              <c:f>Sheet1!$A$2:$A$9</c:f>
              <c:strCache>
                <c:ptCount val="8"/>
                <c:pt idx="0">
                  <c:v>机电工程学院</c:v>
                </c:pt>
                <c:pt idx="1">
                  <c:v>信息工程学院</c:v>
                </c:pt>
                <c:pt idx="2">
                  <c:v>总体</c:v>
                </c:pt>
                <c:pt idx="3">
                  <c:v>海事学院</c:v>
                </c:pt>
                <c:pt idx="4">
                  <c:v>健康科学学院</c:v>
                </c:pt>
                <c:pt idx="5">
                  <c:v>城建学院</c:v>
                </c:pt>
                <c:pt idx="6">
                  <c:v>国际护理学院</c:v>
                </c:pt>
                <c:pt idx="7">
                  <c:v>化学与材料工程学院</c:v>
                </c:pt>
              </c:strCache>
            </c:strRef>
          </c:cat>
          <c:val>
            <c:numRef>
              <c:f>Sheet1!$B$2:$B$9</c:f>
              <c:numCache>
                <c:formatCode>0.00%</c:formatCode>
                <c:ptCount val="8"/>
                <c:pt idx="0">
                  <c:v>0.9167</c:v>
                </c:pt>
                <c:pt idx="1">
                  <c:v>0.8125</c:v>
                </c:pt>
                <c:pt idx="2">
                  <c:v>0.8681</c:v>
                </c:pt>
                <c:pt idx="3">
                  <c:v>1</c:v>
                </c:pt>
                <c:pt idx="4">
                  <c:v>0.7692</c:v>
                </c:pt>
                <c:pt idx="5">
                  <c:v>0.7857</c:v>
                </c:pt>
                <c:pt idx="6">
                  <c:v>0.9286</c:v>
                </c:pt>
                <c:pt idx="7">
                  <c:v>1</c:v>
                </c:pt>
              </c:numCache>
            </c:numRef>
          </c:val>
        </c:ser>
        <c:ser>
          <c:idx val="1"/>
          <c:order val="1"/>
          <c:tx>
            <c:strRef>
              <c:f>Sheet1!$C$1</c:f>
              <c:strCache>
                <c:ptCount val="1"/>
                <c:pt idx="0">
                  <c:v>最终毕业去向落实率</c:v>
                </c:pt>
              </c:strCache>
            </c:strRef>
          </c:tx>
          <c:spPr>
            <a:solidFill>
              <a:srgbClr val="4F81BD">
                <a:lumMod val="40000"/>
                <a:lumOff val="6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ysClr val="windowText" lastClr="000000">
                          <a:shade val="95000"/>
                          <a:satMod val="105000"/>
                        </a:sysClr>
                      </a:solidFill>
                      <a:prstDash val="solid"/>
                      <a:round/>
                    </a:ln>
                    <a:effectLst/>
                  </c:spPr>
                </c15:leaderLines>
              </c:ext>
            </c:extLst>
          </c:dLbls>
          <c:cat>
            <c:strRef>
              <c:f>Sheet1!$A$2:$A$9</c:f>
              <c:strCache>
                <c:ptCount val="8"/>
                <c:pt idx="0">
                  <c:v>机电工程学院</c:v>
                </c:pt>
                <c:pt idx="1">
                  <c:v>信息工程学院</c:v>
                </c:pt>
                <c:pt idx="2">
                  <c:v>总体</c:v>
                </c:pt>
                <c:pt idx="3">
                  <c:v>海事学院</c:v>
                </c:pt>
                <c:pt idx="4">
                  <c:v>健康科学学院</c:v>
                </c:pt>
                <c:pt idx="5">
                  <c:v>城建学院</c:v>
                </c:pt>
                <c:pt idx="6">
                  <c:v>国际护理学院</c:v>
                </c:pt>
                <c:pt idx="7">
                  <c:v>化学与材料工程学院</c:v>
                </c:pt>
              </c:strCache>
            </c:strRef>
          </c:cat>
          <c:val>
            <c:numRef>
              <c:f>Sheet1!$C$2:$C$9</c:f>
              <c:numCache>
                <c:formatCode>0.00%</c:formatCode>
                <c:ptCount val="8"/>
                <c:pt idx="0">
                  <c:v>0.95</c:v>
                </c:pt>
                <c:pt idx="1">
                  <c:v>0.9865</c:v>
                </c:pt>
                <c:pt idx="2">
                  <c:v>0.9897</c:v>
                </c:pt>
                <c:pt idx="3">
                  <c:v>1</c:v>
                </c:pt>
                <c:pt idx="4">
                  <c:v>1</c:v>
                </c:pt>
                <c:pt idx="5">
                  <c:v>1</c:v>
                </c:pt>
                <c:pt idx="6">
                  <c:v>1</c:v>
                </c:pt>
                <c:pt idx="7">
                  <c:v>1</c:v>
                </c:pt>
              </c:numCache>
            </c:numRef>
          </c:val>
        </c:ser>
        <c:dLbls>
          <c:showLegendKey val="0"/>
          <c:showVal val="1"/>
          <c:showCatName val="0"/>
          <c:showSerName val="0"/>
          <c:showPercent val="0"/>
          <c:showBubbleSize val="0"/>
        </c:dLbls>
        <c:gapWidth val="150"/>
        <c:overlap val="-30"/>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972182824"/>
        <c:crosses val="autoZero"/>
        <c:auto val="1"/>
        <c:lblAlgn val="ctr"/>
        <c:lblOffset val="100"/>
        <c:noMultiLvlLbl val="0"/>
      </c:catAx>
      <c:valAx>
        <c:axId val="972182824"/>
        <c:scaling>
          <c:orientation val="minMax"/>
          <c:max val="1"/>
          <c:min val="0"/>
        </c:scaling>
        <c:delete val="0"/>
        <c:axPos val="b"/>
        <c:numFmt formatCode="0.00%" sourceLinked="1"/>
        <c:majorTickMark val="out"/>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972182432"/>
        <c:crosses val="autoZero"/>
        <c:crossBetween val="between"/>
        <c:majorUnit val="0.2"/>
      </c:valAx>
      <c:spPr>
        <a:solidFill>
          <a:sysClr val="window" lastClr="FFFFFF"/>
        </a:solidFill>
        <a:ln>
          <a:noFill/>
        </a:ln>
        <a:effectLst/>
      </c:spPr>
    </c:plotArea>
    <c:legend>
      <c:legendPos val="b"/>
      <c:layout>
        <c:manualLayout>
          <c:xMode val="edge"/>
          <c:yMode val="edge"/>
          <c:x val="0.228005944021094"/>
          <c:y val="0.94194891368916"/>
          <c:w val="0.557796906571949"/>
          <c:h val="0.0580510863108404"/>
        </c:manualLayout>
      </c:layout>
      <c:overlay val="0"/>
      <c:spPr>
        <a:noFill/>
        <a:ln>
          <a:noFill/>
        </a:ln>
        <a:effectLst/>
      </c:spPr>
      <c:txPr>
        <a:bodyPr rot="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legend>
    <c:plotVisOnly val="1"/>
    <c:dispBlanksAs val="gap"/>
    <c:showDLblsOverMax val="0"/>
  </c:chart>
  <c:spPr>
    <a:solidFill>
      <a:sysClr val="window" lastClr="FFFFFF"/>
    </a:solidFill>
    <a:ln w="9525" cap="flat" cmpd="sng" algn="ctr">
      <a:noFill/>
      <a:prstDash val="solid"/>
      <a:round/>
    </a:ln>
    <a:effectLst/>
  </c:spPr>
  <c:txPr>
    <a:bodyPr/>
    <a:lstStyle/>
    <a:p>
      <a:pPr>
        <a:defRPr lang="zh-CN"/>
      </a:pPr>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3175853018373"/>
          <c:y val="0.198700646290181"/>
          <c:w val="0.503459218541079"/>
          <c:h val="0.717294047921429"/>
        </c:manualLayout>
      </c:layout>
      <c:doughnutChart>
        <c:varyColors val="1"/>
        <c:ser>
          <c:idx val="0"/>
          <c:order val="0"/>
          <c:tx>
            <c:strRef>
              <c:f>Sheet1!$B$1</c:f>
              <c:strCache>
                <c:ptCount val="1"/>
                <c:pt idx="0">
                  <c:v>就业地区分布</c:v>
                </c:pt>
              </c:strCache>
            </c:strRef>
          </c:tx>
          <c:explosion val="0"/>
          <c:dPt>
            <c:idx val="0"/>
            <c:bubble3D val="0"/>
            <c:spPr>
              <a:solidFill>
                <a:srgbClr val="0F6FC6"/>
              </a:solidFill>
              <a:ln w="19050">
                <a:solidFill>
                  <a:sysClr val="window" lastClr="FFFFFF"/>
                </a:solidFill>
              </a:ln>
              <a:effectLst/>
            </c:spPr>
          </c:dPt>
          <c:dPt>
            <c:idx val="1"/>
            <c:bubble3D val="0"/>
            <c:spPr>
              <a:solidFill>
                <a:srgbClr val="009DD9"/>
              </a:solidFill>
              <a:ln w="19050">
                <a:solidFill>
                  <a:sysClr val="window" lastClr="FFFFFF"/>
                </a:solidFill>
              </a:ln>
              <a:effectLst/>
            </c:spPr>
          </c:dPt>
          <c:dLbls>
            <c:dLbl>
              <c:idx val="0"/>
              <c:layout>
                <c:manualLayout>
                  <c:x val="0.228593247342137"/>
                  <c:y val="-0.0358428196475441"/>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ysClr val="windowText" lastClr="000000">
                          <a:lumMod val="75000"/>
                          <a:lumOff val="25000"/>
                        </a:sysClr>
                      </a:solidFill>
                      <a:latin typeface="+mn-lt"/>
                      <a:ea typeface="+mn-ea"/>
                      <a:cs typeface="+mn-cs"/>
                    </a:defRPr>
                  </a:pPr>
                </a:p>
              </c:txPr>
              <c:showLegendKey val="0"/>
              <c:showVal val="1"/>
              <c:showCatName val="1"/>
              <c:showSerName val="0"/>
              <c:showPercent val="0"/>
              <c:showBubbleSize val="0"/>
              <c:extLst>
                <c:ext xmlns:c15="http://schemas.microsoft.com/office/drawing/2012/chart" uri="{CE6537A1-D6FC-4f65-9D91-7224C49458BB}">
                  <c15:layout>
                    <c:manualLayout>
                      <c:w val="0.276799194765979"/>
                      <c:h val="0.196308525950385"/>
                    </c:manualLayout>
                  </c15:layout>
                </c:ext>
              </c:extLst>
            </c:dLbl>
            <c:dLbl>
              <c:idx val="1"/>
              <c:layout>
                <c:manualLayout>
                  <c:x val="-0.152706731211128"/>
                  <c:y val="-0.180092088488939"/>
                </c:manualLayout>
              </c:layout>
              <c:tx>
                <c:rich>
                  <a:bodyPr rot="0" spcFirstLastPara="1" vertOverflow="ellipsis" vert="horz" wrap="square" lIns="38100" tIns="19050" rIns="38100" bIns="19050" anchor="ctr" anchorCtr="1">
                    <a:noAutofit/>
                  </a:bodyPr>
                  <a:lstStyle/>
                  <a:p>
                    <a:fld id="{8ddca862-1c4f-4507-91af-672ccf96325d}" type="CATEGORYNAME">
                      <a:t>[CATEGORY NAME]</a:t>
                    </a:fld>
                    <a:r>
                      <a:t>,</a:t>
                    </a:r>
                    <a:fld id="{babcf5be-abcd-4b4f-beca-a2c1d6905a35}" type="VALUE">
                      <a:t>[VALUE]</a:t>
                    </a:fld>
                    <a:endParaRPr lang="en-US" altLang="zh-CN" b="0" i="0" u="none" strike="noStrike" baseline="0">
                      <a:latin typeface="Times New Roman" panose="02020603050405020304" charset="0"/>
                      <a:ea typeface="Times New Roman" panose="02020603050405020304" charset="0"/>
                      <a:cs typeface="+mn-ea"/>
                    </a:endParaRPr>
                  </a:p>
                </c:rich>
              </c:tx>
              <c:numFmt formatCode="0.00%" sourceLinked="0"/>
              <c:spPr>
                <a:noFill/>
                <a:ln>
                  <a:noFill/>
                </a:ln>
                <a:effectLst/>
              </c:spPr>
              <c:txPr>
                <a:bodyPr rot="0" spcFirstLastPara="1" vertOverflow="ellipsis" vert="horz" wrap="square" lIns="38100" tIns="19050" rIns="38100" bIns="19050" anchor="ctr" anchorCtr="1">
                  <a:noAutofit/>
                </a:bodyPr>
                <a:lstStyle/>
                <a:p>
                  <a:pPr>
                    <a:defRPr lang="zh-CN" sz="1000" b="0" i="0" u="none" strike="noStrike" kern="1200" baseline="0">
                      <a:solidFill>
                        <a:schemeClr val="tx1"/>
                      </a:solidFill>
                      <a:latin typeface="+mn-lt"/>
                      <a:ea typeface="+mn-ea"/>
                      <a:cs typeface="+mn-cs"/>
                    </a:defRPr>
                  </a:pPr>
                </a:p>
              </c:txPr>
              <c:showLegendKey val="0"/>
              <c:showVal val="1"/>
              <c:showCatName val="1"/>
              <c:showSerName val="0"/>
              <c:showPercent val="0"/>
              <c:showBubbleSize val="0"/>
              <c:extLst>
                <c:ext xmlns:c15="http://schemas.microsoft.com/office/drawing/2012/chart" uri="{CE6537A1-D6FC-4f65-9D91-7224C49458BB}">
                  <c15:layout>
                    <c:manualLayout>
                      <c:w val="0.31202818319074"/>
                      <c:h val="0.239319278638557"/>
                    </c:manualLayout>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lumMod val="75000"/>
                        <a:lumOff val="25000"/>
                      </a:sysClr>
                    </a:solidFill>
                    <a:latin typeface="+mn-lt"/>
                    <a:ea typeface="+mn-ea"/>
                    <a:cs typeface="+mn-cs"/>
                  </a:defRPr>
                </a:pPr>
              </a:p>
            </c:txPr>
            <c:showLegendKey val="0"/>
            <c:showVal val="1"/>
            <c:showCatName val="1"/>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省内就业</c:v>
                </c:pt>
                <c:pt idx="1">
                  <c:v>省外就业</c:v>
                </c:pt>
              </c:strCache>
            </c:strRef>
          </c:cat>
          <c:val>
            <c:numRef>
              <c:f>Sheet1!$B$2:$B$3</c:f>
              <c:numCache>
                <c:formatCode>0.00%</c:formatCode>
                <c:ptCount val="2"/>
                <c:pt idx="0">
                  <c:v>0.7589</c:v>
                </c:pt>
                <c:pt idx="1">
                  <c:v>0.2411</c:v>
                </c:pt>
              </c:numCache>
            </c:numRef>
          </c:val>
        </c:ser>
        <c:dLbls>
          <c:showLegendKey val="0"/>
          <c:showVal val="1"/>
          <c:showCatName val="0"/>
          <c:showSerName val="0"/>
          <c:showPercent val="0"/>
          <c:showBubbleSize val="0"/>
          <c:showLeaderLines val="0"/>
        </c:dLbls>
        <c:firstSliceAng val="0"/>
        <c:holeSize val="40"/>
      </c:doughnutChart>
      <c:spPr>
        <a:noFill/>
        <a:ln>
          <a:noFill/>
        </a:ln>
      </c:spPr>
    </c:plotArea>
    <c:plotVisOnly val="1"/>
    <c:dispBlanksAs val="gap"/>
    <c:showDLblsOverMax val="0"/>
  </c:chart>
  <c:spPr>
    <a:solidFill>
      <a:sysClr val="window" lastClr="FFFFFF"/>
    </a:solidFill>
    <a:ln w="9525" cap="flat" cmpd="sng" algn="ctr">
      <a:noFill/>
      <a:prstDash val="solid"/>
      <a:round/>
    </a:ln>
  </c:spPr>
  <c:txPr>
    <a:bodyPr/>
    <a:lstStyle/>
    <a:p>
      <a:pPr>
        <a:defRPr lang="zh-CN"/>
      </a:pPr>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3175853018373"/>
          <c:y val="0.198700646290181"/>
          <c:w val="0.503459218541079"/>
          <c:h val="0.717294047921429"/>
        </c:manualLayout>
      </c:layout>
      <c:doughnutChart>
        <c:varyColors val="1"/>
        <c:ser>
          <c:idx val="0"/>
          <c:order val="0"/>
          <c:tx>
            <c:strRef>
              <c:f>Sheet1!$B$1</c:f>
              <c:strCache>
                <c:ptCount val="1"/>
                <c:pt idx="0">
                  <c:v>比例</c:v>
                </c:pt>
              </c:strCache>
            </c:strRef>
          </c:tx>
          <c:explosion val="0"/>
          <c:dPt>
            <c:idx val="0"/>
            <c:bubble3D val="0"/>
            <c:spPr>
              <a:solidFill>
                <a:srgbClr val="0F6FC6"/>
              </a:solidFill>
              <a:ln w="19050">
                <a:solidFill>
                  <a:sysClr val="window" lastClr="FFFFFF"/>
                </a:solidFill>
              </a:ln>
              <a:effectLst/>
            </c:spPr>
          </c:dPt>
          <c:dPt>
            <c:idx val="1"/>
            <c:bubble3D val="0"/>
            <c:spPr>
              <a:solidFill>
                <a:srgbClr val="009DD9"/>
              </a:solidFill>
              <a:ln w="19050">
                <a:solidFill>
                  <a:sysClr val="window" lastClr="FFFFFF"/>
                </a:solidFill>
              </a:ln>
              <a:effectLst/>
            </c:spPr>
          </c:dPt>
          <c:dPt>
            <c:idx val="2"/>
            <c:bubble3D val="0"/>
            <c:spPr>
              <a:solidFill>
                <a:srgbClr val="4F81BD">
                  <a:lumMod val="40000"/>
                  <a:lumOff val="60000"/>
                </a:srgbClr>
              </a:solidFill>
              <a:ln w="19050">
                <a:solidFill>
                  <a:sysClr val="window" lastClr="FFFFFF"/>
                </a:solidFill>
              </a:ln>
              <a:effectLst/>
            </c:spPr>
          </c:dPt>
          <c:dLbls>
            <c:dLbl>
              <c:idx val="0"/>
              <c:layout>
                <c:manualLayout>
                  <c:x val="0.195466887510056"/>
                  <c:y val="-0.10740157480315"/>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ysClr val="windowText" lastClr="000000">
                          <a:lumMod val="75000"/>
                          <a:lumOff val="25000"/>
                        </a:sysClr>
                      </a:solidFill>
                      <a:latin typeface="+mn-lt"/>
                      <a:ea typeface="+mn-ea"/>
                      <a:cs typeface="+mn-cs"/>
                    </a:defRPr>
                  </a:pPr>
                </a:p>
              </c:txPr>
              <c:showLegendKey val="0"/>
              <c:showVal val="1"/>
              <c:showCatName val="1"/>
              <c:showSerName val="0"/>
              <c:showPercent val="0"/>
              <c:showBubbleSize val="0"/>
              <c:extLst>
                <c:ext xmlns:c15="http://schemas.microsoft.com/office/drawing/2012/chart" uri="{CE6537A1-D6FC-4f65-9D91-7224C49458BB}">
                  <c15:layout>
                    <c:manualLayout>
                      <c:w val="0.276799100112486"/>
                      <c:h val="0.313267332811469"/>
                    </c:manualLayout>
                  </c15:layout>
                </c:ext>
              </c:extLst>
            </c:dLbl>
            <c:dLbl>
              <c:idx val="1"/>
              <c:layout>
                <c:manualLayout>
                  <c:x val="0.200097686338715"/>
                  <c:y val="0.105829148266484"/>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ysClr val="windowText" lastClr="000000">
                          <a:lumMod val="75000"/>
                          <a:lumOff val="25000"/>
                        </a:sysClr>
                      </a:solidFill>
                      <a:latin typeface="+mn-lt"/>
                      <a:ea typeface="+mn-ea"/>
                      <a:cs typeface="+mn-cs"/>
                    </a:defRPr>
                  </a:pPr>
                </a:p>
              </c:txPr>
              <c:showLegendKey val="0"/>
              <c:showVal val="1"/>
              <c:showCatName val="1"/>
              <c:showSerName val="0"/>
              <c:showPercent val="0"/>
              <c:showBubbleSize val="0"/>
              <c:extLst>
                <c:ext xmlns:c15="http://schemas.microsoft.com/office/drawing/2012/chart" uri="{CE6537A1-D6FC-4f65-9D91-7224C49458BB}">
                  <c15:layout>
                    <c:manualLayout>
                      <c:w val="0.337151939820177"/>
                      <c:h val="0.239319120197695"/>
                    </c:manualLayout>
                  </c15:layout>
                </c:ext>
              </c:extLst>
            </c:dLbl>
            <c:dLbl>
              <c:idx val="2"/>
              <c:layout>
                <c:manualLayout>
                  <c:x val="-0.113671801706792"/>
                  <c:y val="-0.3606818007398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ysClr val="windowText" lastClr="000000">
                          <a:lumMod val="75000"/>
                          <a:lumOff val="25000"/>
                        </a:sysClr>
                      </a:solidFill>
                      <a:latin typeface="+mn-lt"/>
                      <a:ea typeface="+mn-ea"/>
                      <a:cs typeface="+mn-cs"/>
                    </a:defRPr>
                  </a:pPr>
                </a:p>
              </c:txPr>
              <c:showLegendKey val="0"/>
              <c:showVal val="1"/>
              <c:showCatName val="1"/>
              <c:showSerName val="0"/>
              <c:showPercent val="0"/>
              <c:showBubbleSize val="0"/>
              <c:extLst>
                <c:ext xmlns:c15="http://schemas.microsoft.com/office/drawing/2012/chart" uri="{CE6537A1-D6FC-4f65-9D91-7224C49458BB}">
                  <c15:layout>
                    <c:manualLayout>
                      <c:w val="0.374374834205708"/>
                      <c:h val="0.298408926954306"/>
                    </c:manualLayout>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lumMod val="75000"/>
                        <a:lumOff val="25000"/>
                      </a:sysClr>
                    </a:solidFill>
                    <a:latin typeface="+mn-lt"/>
                    <a:ea typeface="+mn-ea"/>
                    <a:cs typeface="+mn-cs"/>
                  </a:defRPr>
                </a:pPr>
              </a:p>
            </c:txPr>
            <c:showLegendKey val="0"/>
            <c:showVal val="1"/>
            <c:showCatName val="1"/>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省内就业</c:v>
                </c:pt>
                <c:pt idx="1">
                  <c:v>回生源地就业</c:v>
                </c:pt>
                <c:pt idx="2">
                  <c:v>其他省份就业</c:v>
                </c:pt>
              </c:strCache>
            </c:strRef>
          </c:cat>
          <c:val>
            <c:numRef>
              <c:f>Sheet1!$B$2:$B$4</c:f>
              <c:numCache>
                <c:formatCode>0.00%</c:formatCode>
                <c:ptCount val="3"/>
                <c:pt idx="0">
                  <c:v>0.2023</c:v>
                </c:pt>
                <c:pt idx="1">
                  <c:v>0.2832</c:v>
                </c:pt>
                <c:pt idx="2">
                  <c:v>0.5145</c:v>
                </c:pt>
              </c:numCache>
            </c:numRef>
          </c:val>
        </c:ser>
        <c:dLbls>
          <c:showLegendKey val="0"/>
          <c:showVal val="1"/>
          <c:showCatName val="0"/>
          <c:showSerName val="0"/>
          <c:showPercent val="0"/>
          <c:showBubbleSize val="0"/>
          <c:showLeaderLines val="0"/>
        </c:dLbls>
        <c:firstSliceAng val="0"/>
        <c:holeSize val="40"/>
      </c:doughnutChart>
      <c:spPr>
        <a:noFill/>
        <a:ln>
          <a:noFill/>
        </a:ln>
      </c:spPr>
    </c:plotArea>
    <c:plotVisOnly val="1"/>
    <c:dispBlanksAs val="gap"/>
    <c:showDLblsOverMax val="0"/>
  </c:chart>
  <c:spPr>
    <a:solidFill>
      <a:sysClr val="window" lastClr="FFFFFF"/>
    </a:solidFill>
    <a:ln w="9525" cap="flat" cmpd="sng" algn="ctr">
      <a:noFill/>
      <a:prstDash val="solid"/>
      <a:round/>
    </a:ln>
  </c:spPr>
  <c:txPr>
    <a:bodyPr/>
    <a:lstStyle/>
    <a:p>
      <a:pPr>
        <a:defRPr lang="zh-CN"/>
      </a:pPr>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8599945949166"/>
          <c:y val="0.0163854801168723"/>
          <c:w val="0.617121973677341"/>
          <c:h val="0.949013987580821"/>
        </c:manualLayout>
      </c:layout>
      <c:barChart>
        <c:barDir val="bar"/>
        <c:grouping val="clustered"/>
        <c:varyColors val="0"/>
        <c:ser>
          <c:idx val="0"/>
          <c:order val="0"/>
          <c:tx>
            <c:strRef>
              <c:f>Sheet1!$B$1</c:f>
              <c:strCache>
                <c:ptCount val="1"/>
                <c:pt idx="0">
                  <c:v>我工作的平均月收入（税前），大致____元/月（月收入包括工资、能折算为现金的福利等）</c:v>
                </c:pt>
              </c:strCache>
            </c:strRef>
          </c:tx>
          <c:spPr>
            <a:solidFill>
              <a:srgbClr val="0F6FC6"/>
            </a:solidFill>
            <a:ln>
              <a:noFill/>
            </a:ln>
            <a:effectLst/>
          </c:spPr>
          <c:invertIfNegative val="0"/>
          <c:dPt>
            <c:idx val="0"/>
            <c:invertIfNegative val="0"/>
            <c:bubble3D val="0"/>
            <c:spPr>
              <a:solidFill>
                <a:srgbClr val="0F6FC6"/>
              </a:solidFill>
              <a:ln>
                <a:noFill/>
              </a:ln>
              <a:effectLst/>
            </c:spPr>
          </c:dPt>
          <c:dPt>
            <c:idx val="1"/>
            <c:invertIfNegative val="0"/>
            <c:bubble3D val="0"/>
            <c:spPr>
              <a:solidFill>
                <a:srgbClr val="0F6FC6"/>
              </a:solidFill>
              <a:ln>
                <a:noFill/>
              </a:ln>
              <a:effectLst/>
            </c:spPr>
          </c:dPt>
          <c:dPt>
            <c:idx val="2"/>
            <c:invertIfNegative val="0"/>
            <c:bubble3D val="0"/>
            <c:spPr>
              <a:solidFill>
                <a:srgbClr val="0F6FC6"/>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ysClr val="windowText" lastClr="000000">
                          <a:shade val="95000"/>
                          <a:satMod val="105000"/>
                        </a:sysClr>
                      </a:solidFill>
                      <a:prstDash val="solid"/>
                      <a:round/>
                    </a:ln>
                    <a:effectLst/>
                  </c:spPr>
                </c15:leaderLines>
              </c:ext>
            </c:extLst>
          </c:dLbls>
          <c:cat>
            <c:strRef>
              <c:f>Sheet1!$A$2:$A$9</c:f>
              <c:strCache>
                <c:ptCount val="8"/>
                <c:pt idx="0">
                  <c:v>海南省</c:v>
                </c:pt>
                <c:pt idx="1">
                  <c:v>广西壮族自治区</c:v>
                </c:pt>
                <c:pt idx="2">
                  <c:v>浙江省</c:v>
                </c:pt>
                <c:pt idx="3">
                  <c:v>贵州省</c:v>
                </c:pt>
                <c:pt idx="4">
                  <c:v>云南省</c:v>
                </c:pt>
                <c:pt idx="5">
                  <c:v>广东省</c:v>
                </c:pt>
                <c:pt idx="6">
                  <c:v>湖北省</c:v>
                </c:pt>
                <c:pt idx="7">
                  <c:v>福建省</c:v>
                </c:pt>
              </c:strCache>
            </c:strRef>
          </c:cat>
          <c:val>
            <c:numRef>
              <c:f>Sheet1!$B$2:$B$9</c:f>
              <c:numCache>
                <c:formatCode>0.00_);[Red]\(0.00\)</c:formatCode>
                <c:ptCount val="8"/>
                <c:pt idx="0">
                  <c:v>3945</c:v>
                </c:pt>
                <c:pt idx="1">
                  <c:v>3993</c:v>
                </c:pt>
                <c:pt idx="2">
                  <c:v>4543</c:v>
                </c:pt>
                <c:pt idx="3">
                  <c:v>4582</c:v>
                </c:pt>
                <c:pt idx="4">
                  <c:v>4683</c:v>
                </c:pt>
                <c:pt idx="5">
                  <c:v>5036</c:v>
                </c:pt>
                <c:pt idx="6">
                  <c:v>5293</c:v>
                </c:pt>
                <c:pt idx="7">
                  <c:v>5789</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972182824"/>
        <c:crosses val="autoZero"/>
        <c:auto val="1"/>
        <c:lblAlgn val="ctr"/>
        <c:lblOffset val="100"/>
        <c:noMultiLvlLbl val="0"/>
      </c:catAx>
      <c:valAx>
        <c:axId val="972182824"/>
        <c:scaling>
          <c:orientation val="minMax"/>
          <c:max val="10000"/>
          <c:min val="0"/>
        </c:scaling>
        <c:delete val="0"/>
        <c:axPos val="b"/>
        <c:numFmt formatCode="0.00_);[Red]\(0.00\)" sourceLinked="1"/>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972182432"/>
        <c:crosses val="autoZero"/>
        <c:crossBetween val="between"/>
        <c:majorUnit val="2000"/>
      </c:valAx>
      <c:spPr>
        <a:solidFill>
          <a:sysClr val="window" lastClr="FFFFFF"/>
        </a:solidFill>
        <a:ln>
          <a:noFill/>
        </a:ln>
        <a:effectLst/>
      </c:spPr>
    </c:plotArea>
    <c:plotVisOnly val="1"/>
    <c:dispBlanksAs val="gap"/>
    <c:showDLblsOverMax val="0"/>
  </c:chart>
  <c:spPr>
    <a:solidFill>
      <a:sysClr val="window" lastClr="FFFFFF"/>
    </a:solidFill>
    <a:ln w="9525" cap="flat" cmpd="sng" algn="ctr">
      <a:noFill/>
      <a:prstDash val="solid"/>
      <a:round/>
    </a:ln>
    <a:effectLst/>
  </c:spPr>
  <c:txPr>
    <a:bodyPr/>
    <a:lstStyle/>
    <a:p>
      <a:pPr>
        <a:defRPr lang="zh-CN"/>
      </a:pPr>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8599945949166"/>
          <c:y val="0.0429403024713069"/>
          <c:w val="0.617121973677341"/>
          <c:h val="0.915534133894157"/>
        </c:manualLayout>
      </c:layout>
      <c:barChart>
        <c:barDir val="bar"/>
        <c:grouping val="clustered"/>
        <c:varyColors val="0"/>
        <c:ser>
          <c:idx val="0"/>
          <c:order val="0"/>
          <c:tx>
            <c:strRef>
              <c:f>Sheet1!$B$1</c:f>
              <c:strCache>
                <c:ptCount val="1"/>
                <c:pt idx="0">
                  <c:v>我工作的平均月收入（税前），大致____元/月（月收入包括工资、能折算为现金的福利等）</c:v>
                </c:pt>
              </c:strCache>
            </c:strRef>
          </c:tx>
          <c:spPr>
            <a:solidFill>
              <a:srgbClr val="0F6FC6"/>
            </a:solidFill>
            <a:ln>
              <a:solidFill>
                <a:srgbClr val="0F6FC6"/>
              </a:solidFill>
            </a:ln>
            <a:effectLst/>
          </c:spPr>
          <c:invertIfNegative val="0"/>
          <c:dPt>
            <c:idx val="0"/>
            <c:invertIfNegative val="0"/>
            <c:bubble3D val="0"/>
            <c:spPr>
              <a:solidFill>
                <a:srgbClr val="0F6FC6"/>
              </a:solidFill>
              <a:ln>
                <a:solidFill>
                  <a:srgbClr val="0F6FC6"/>
                </a:solidFill>
              </a:ln>
              <a:effectLst/>
            </c:spPr>
          </c:dPt>
          <c:dPt>
            <c:idx val="1"/>
            <c:invertIfNegative val="0"/>
            <c:bubble3D val="0"/>
            <c:spPr>
              <a:solidFill>
                <a:srgbClr val="0F6FC6"/>
              </a:solidFill>
              <a:ln>
                <a:solidFill>
                  <a:srgbClr val="0F6FC6"/>
                </a:solidFill>
              </a:ln>
              <a:effectLst/>
            </c:spPr>
          </c:dPt>
          <c:dPt>
            <c:idx val="2"/>
            <c:invertIfNegative val="0"/>
            <c:bubble3D val="0"/>
            <c:spPr>
              <a:solidFill>
                <a:srgbClr val="0F6FC6"/>
              </a:solidFill>
              <a:ln>
                <a:solidFill>
                  <a:srgbClr val="0F6FC6"/>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ysClr val="windowText" lastClr="000000">
                          <a:shade val="95000"/>
                          <a:satMod val="105000"/>
                        </a:sysClr>
                      </a:solidFill>
                      <a:prstDash val="solid"/>
                      <a:round/>
                    </a:ln>
                    <a:effectLst/>
                  </c:spPr>
                </c15:leaderLines>
              </c:ext>
            </c:extLst>
          </c:dLbls>
          <c:cat>
            <c:strRef>
              <c:f>Sheet1!$A$2:$A$9</c:f>
              <c:strCache>
                <c:ptCount val="8"/>
                <c:pt idx="0">
                  <c:v>陵水黎族自治县</c:v>
                </c:pt>
                <c:pt idx="1">
                  <c:v>儋州市</c:v>
                </c:pt>
                <c:pt idx="2">
                  <c:v>三亚市</c:v>
                </c:pt>
                <c:pt idx="3">
                  <c:v>海口市</c:v>
                </c:pt>
                <c:pt idx="4">
                  <c:v>澄迈县</c:v>
                </c:pt>
                <c:pt idx="5">
                  <c:v>东方市</c:v>
                </c:pt>
                <c:pt idx="6">
                  <c:v>琼海市</c:v>
                </c:pt>
                <c:pt idx="7">
                  <c:v>万宁市</c:v>
                </c:pt>
              </c:strCache>
            </c:strRef>
          </c:cat>
          <c:val>
            <c:numRef>
              <c:f>Sheet1!$B$2:$B$9</c:f>
              <c:numCache>
                <c:formatCode>0.00_);[Red]\(0.00\)</c:formatCode>
                <c:ptCount val="8"/>
                <c:pt idx="0">
                  <c:v>3280</c:v>
                </c:pt>
                <c:pt idx="1">
                  <c:v>3571</c:v>
                </c:pt>
                <c:pt idx="2">
                  <c:v>3741</c:v>
                </c:pt>
                <c:pt idx="3">
                  <c:v>3953</c:v>
                </c:pt>
                <c:pt idx="4">
                  <c:v>3964</c:v>
                </c:pt>
                <c:pt idx="5">
                  <c:v>4093</c:v>
                </c:pt>
                <c:pt idx="6">
                  <c:v>4256</c:v>
                </c:pt>
                <c:pt idx="7">
                  <c:v>4308</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in"/>
        <c:tickLblPos val="nextTo"/>
        <c:spPr>
          <a:noFill/>
          <a:ln w="9525" cap="flat" cmpd="sng" algn="ctr">
            <a:solidFill>
              <a:srgbClr val="009DD9">
                <a:shade val="95000"/>
                <a:satMod val="105000"/>
              </a:srgbClr>
            </a:solidFill>
            <a:prstDash val="solid"/>
            <a:round/>
          </a:ln>
          <a:effectLst/>
        </c:spPr>
        <c:txPr>
          <a:bodyPr rot="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972182824"/>
        <c:crosses val="autoZero"/>
        <c:auto val="1"/>
        <c:lblAlgn val="ctr"/>
        <c:lblOffset val="100"/>
        <c:noMultiLvlLbl val="0"/>
      </c:catAx>
      <c:valAx>
        <c:axId val="972182824"/>
        <c:scaling>
          <c:orientation val="minMax"/>
          <c:max val="5000"/>
          <c:min val="0"/>
        </c:scaling>
        <c:delete val="0"/>
        <c:axPos val="b"/>
        <c:numFmt formatCode="0.00_);[Red]\(0.00\)" sourceLinked="1"/>
        <c:majorTickMark val="out"/>
        <c:minorTickMark val="none"/>
        <c:tickLblPos val="nextTo"/>
        <c:spPr>
          <a:noFill/>
          <a:ln w="9525" cap="flat" cmpd="sng" algn="ctr">
            <a:solidFill>
              <a:sysClr val="windowText" lastClr="000000">
                <a:tint val="75000"/>
                <a:shade val="95000"/>
                <a:satMod val="105000"/>
              </a:sysClr>
            </a:solidFill>
            <a:prstDash val="solid"/>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972182432"/>
        <c:crosses val="autoZero"/>
        <c:crossBetween val="between"/>
        <c:majorUnit val="2000"/>
      </c:valAx>
      <c:spPr>
        <a:solidFill>
          <a:sysClr val="window" lastClr="FFFFFF"/>
        </a:solidFill>
        <a:ln>
          <a:noFill/>
        </a:ln>
        <a:effectLst/>
      </c:spPr>
    </c:plotArea>
    <c:plotVisOnly val="1"/>
    <c:dispBlanksAs val="gap"/>
    <c:showDLblsOverMax val="0"/>
  </c:chart>
  <c:spPr>
    <a:solidFill>
      <a:sysClr val="window" lastClr="FFFFFF"/>
    </a:solidFill>
    <a:ln w="9525" cap="flat" cmpd="sng" algn="ctr">
      <a:noFill/>
      <a:prstDash val="solid"/>
      <a:round/>
    </a:ln>
    <a:effectLst/>
  </c:spPr>
  <c:txPr>
    <a:bodyPr/>
    <a:lstStyle/>
    <a:p>
      <a:pPr>
        <a:defRPr lang="zh-CN"/>
      </a:pPr>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0061887000967"/>
          <c:y val="0.0163854801168723"/>
          <c:w val="0.539928903623889"/>
          <c:h val="0.949013987580821"/>
        </c:manualLayout>
      </c:layout>
      <c:barChart>
        <c:barDir val="bar"/>
        <c:grouping val="clustered"/>
        <c:varyColors val="0"/>
        <c:ser>
          <c:idx val="0"/>
          <c:order val="0"/>
          <c:tx>
            <c:strRef>
              <c:f>Sheet1!$B$1</c:f>
              <c:strCache>
                <c:ptCount val="1"/>
                <c:pt idx="0">
                  <c:v>1</c:v>
                </c:pt>
              </c:strCache>
            </c:strRef>
          </c:tx>
          <c:spPr>
            <a:solidFill>
              <a:srgbClr val="0F6FC6"/>
            </a:solidFill>
            <a:ln>
              <a:solidFill>
                <a:srgbClr val="0F6FC6"/>
              </a:solidFill>
            </a:ln>
            <a:effectLst/>
          </c:spPr>
          <c:invertIfNegative val="0"/>
          <c:dPt>
            <c:idx val="0"/>
            <c:invertIfNegative val="0"/>
            <c:bubble3D val="0"/>
            <c:spPr>
              <a:solidFill>
                <a:srgbClr val="0F6FC6"/>
              </a:solidFill>
              <a:ln>
                <a:solidFill>
                  <a:srgbClr val="0F6FC6"/>
                </a:solidFill>
              </a:ln>
              <a:effectLst/>
            </c:spPr>
          </c:dPt>
          <c:dPt>
            <c:idx val="1"/>
            <c:invertIfNegative val="0"/>
            <c:bubble3D val="0"/>
            <c:spPr>
              <a:solidFill>
                <a:srgbClr val="0F6FC6"/>
              </a:solidFill>
              <a:ln>
                <a:solidFill>
                  <a:srgbClr val="0F6FC6"/>
                </a:solidFill>
              </a:ln>
              <a:effectLst/>
            </c:spPr>
          </c:dPt>
          <c:dPt>
            <c:idx val="2"/>
            <c:invertIfNegative val="0"/>
            <c:bubble3D val="0"/>
            <c:spPr>
              <a:solidFill>
                <a:srgbClr val="0F6FC6"/>
              </a:solidFill>
              <a:ln>
                <a:solidFill>
                  <a:srgbClr val="0F6FC6"/>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ysClr val="windowText" lastClr="000000">
                          <a:shade val="95000"/>
                          <a:satMod val="105000"/>
                        </a:sysClr>
                      </a:solidFill>
                      <a:prstDash val="solid"/>
                      <a:round/>
                    </a:ln>
                    <a:effectLst/>
                  </c:spPr>
                </c15:leaderLines>
              </c:ext>
            </c:extLst>
          </c:dLbls>
          <c:cat>
            <c:strRef>
              <c:f>Sheet1!$A$2:$A$10</c:f>
              <c:strCache>
                <c:ptCount val="9"/>
                <c:pt idx="0">
                  <c:v>其他</c:v>
                </c:pt>
                <c:pt idx="1">
                  <c:v>受伴侣影响</c:v>
                </c:pt>
                <c:pt idx="2">
                  <c:v>当地生活成本低</c:v>
                </c:pt>
                <c:pt idx="3">
                  <c:v>当地医疗、教育等资源好</c:v>
                </c:pt>
                <c:pt idx="4">
                  <c:v>受当地人才政策吸引</c:v>
                </c:pt>
                <c:pt idx="5">
                  <c:v>当地自然环境更宜居</c:v>
                </c:pt>
                <c:pt idx="6">
                  <c:v>当地就业机会多、前景好</c:v>
                </c:pt>
                <c:pt idx="7">
                  <c:v>当地亲朋好友多</c:v>
                </c:pt>
                <c:pt idx="8">
                  <c:v>在当地碰巧找到理想工作</c:v>
                </c:pt>
              </c:strCache>
            </c:strRef>
          </c:cat>
          <c:val>
            <c:numRef>
              <c:f>Sheet1!$B$2:$B$10</c:f>
              <c:numCache>
                <c:formatCode>0.00%</c:formatCode>
                <c:ptCount val="9"/>
                <c:pt idx="0">
                  <c:v>0.3408</c:v>
                </c:pt>
                <c:pt idx="1">
                  <c:v>0.0674</c:v>
                </c:pt>
                <c:pt idx="2">
                  <c:v>0.0779</c:v>
                </c:pt>
                <c:pt idx="3">
                  <c:v>0.0951</c:v>
                </c:pt>
                <c:pt idx="4">
                  <c:v>0.1004</c:v>
                </c:pt>
                <c:pt idx="5">
                  <c:v>0.1334</c:v>
                </c:pt>
                <c:pt idx="6">
                  <c:v>0.2206</c:v>
                </c:pt>
                <c:pt idx="7">
                  <c:v>0.251</c:v>
                </c:pt>
                <c:pt idx="8">
                  <c:v>0.3223</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noFill/>
            <a:prstDash val="solid"/>
            <a:round/>
          </a:ln>
          <a:effectLst/>
        </c:spPr>
        <c:txPr>
          <a:bodyPr rot="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972182824"/>
        <c:crosses val="autoZero"/>
        <c:auto val="1"/>
        <c:lblAlgn val="ctr"/>
        <c:lblOffset val="100"/>
        <c:noMultiLvlLbl val="0"/>
      </c:catAx>
      <c:valAx>
        <c:axId val="972182824"/>
        <c:scaling>
          <c:orientation val="minMax"/>
          <c:max val="0.35"/>
          <c:min val="0"/>
        </c:scaling>
        <c:delete val="0"/>
        <c:axPos val="b"/>
        <c:numFmt formatCode="0.00%" sourceLinked="1"/>
        <c:majorTickMark val="out"/>
        <c:minorTickMark val="none"/>
        <c:tickLblPos val="nextTo"/>
        <c:spPr>
          <a:noFill/>
          <a:ln w="9525" cap="flat" cmpd="sng" algn="ctr">
            <a:solidFill>
              <a:sysClr val="windowText" lastClr="000000">
                <a:tint val="75000"/>
                <a:shade val="95000"/>
                <a:satMod val="105000"/>
              </a:sysClr>
            </a:solidFill>
            <a:prstDash val="solid"/>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972182432"/>
        <c:crosses val="autoZero"/>
        <c:crossBetween val="between"/>
        <c:majorUnit val="0.2"/>
      </c:valAx>
      <c:spPr>
        <a:solidFill>
          <a:sysClr val="window" lastClr="FFFFFF"/>
        </a:solidFill>
        <a:ln>
          <a:noFill/>
        </a:ln>
        <a:effectLst/>
      </c:spPr>
    </c:plotArea>
    <c:plotVisOnly val="1"/>
    <c:dispBlanksAs val="gap"/>
    <c:showDLblsOverMax val="0"/>
  </c:chart>
  <c:spPr>
    <a:solidFill>
      <a:sysClr val="window" lastClr="FFFFFF"/>
    </a:solidFill>
    <a:ln w="9525" cap="flat" cmpd="sng" algn="ctr">
      <a:noFill/>
      <a:prstDash val="solid"/>
      <a:round/>
    </a:ln>
    <a:effectLst/>
  </c:spPr>
  <c:txPr>
    <a:bodyPr/>
    <a:lstStyle/>
    <a:p>
      <a:pPr>
        <a:defRPr lang="zh-CN"/>
      </a:pPr>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5993298667605"/>
          <c:y val="0.0497203231821007"/>
          <c:w val="0.494503931029879"/>
          <c:h val="0.825657840004307"/>
        </c:manualLayout>
      </c:layout>
      <c:barChart>
        <c:barDir val="bar"/>
        <c:grouping val="clustered"/>
        <c:varyColors val="0"/>
        <c:ser>
          <c:idx val="0"/>
          <c:order val="0"/>
          <c:tx>
            <c:strRef>
              <c:f>Sheet1!$B$1</c:f>
              <c:strCache>
                <c:ptCount val="1"/>
                <c:pt idx="0">
                  <c:v>占比</c:v>
                </c:pt>
              </c:strCache>
            </c:strRef>
          </c:tx>
          <c:spPr>
            <a:solidFill>
              <a:srgbClr val="0F6FC6"/>
            </a:solidFill>
            <a:ln>
              <a:noFill/>
            </a:ln>
            <a:effectLst/>
          </c:spPr>
          <c:invertIfNegative val="0"/>
          <c:dPt>
            <c:idx val="0"/>
            <c:invertIfNegative val="0"/>
            <c:bubble3D val="0"/>
            <c:spPr>
              <a:solidFill>
                <a:srgbClr val="0F6FC6"/>
              </a:solidFill>
              <a:ln>
                <a:noFill/>
              </a:ln>
              <a:effectLst/>
            </c:spPr>
          </c:dPt>
          <c:dPt>
            <c:idx val="1"/>
            <c:invertIfNegative val="0"/>
            <c:bubble3D val="0"/>
            <c:spPr>
              <a:solidFill>
                <a:srgbClr val="0F6FC6"/>
              </a:solidFill>
              <a:ln>
                <a:noFill/>
              </a:ln>
              <a:effectLst/>
            </c:spPr>
          </c:dPt>
          <c:dPt>
            <c:idx val="2"/>
            <c:invertIfNegative val="0"/>
            <c:bubble3D val="0"/>
            <c:spPr>
              <a:solidFill>
                <a:srgbClr val="0F6FC6"/>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ysClr val="windowText" lastClr="000000">
                          <a:shade val="95000"/>
                          <a:satMod val="105000"/>
                        </a:sysClr>
                      </a:solidFill>
                      <a:prstDash val="solid"/>
                      <a:round/>
                    </a:ln>
                    <a:effectLst/>
                  </c:spPr>
                </c15:leaderLines>
              </c:ext>
            </c:extLst>
          </c:dLbls>
          <c:cat>
            <c:strRef>
              <c:f>Sheet1!$A$2:$A$11</c:f>
              <c:strCache>
                <c:ptCount val="10"/>
                <c:pt idx="0">
                  <c:v>租赁和商务服务业</c:v>
                </c:pt>
                <c:pt idx="1">
                  <c:v>批发和零售业</c:v>
                </c:pt>
                <c:pt idx="2">
                  <c:v>交通运输、仓储和邮政业</c:v>
                </c:pt>
                <c:pt idx="3">
                  <c:v>教育</c:v>
                </c:pt>
                <c:pt idx="4">
                  <c:v>金融业</c:v>
                </c:pt>
                <c:pt idx="5">
                  <c:v>居民服务、修理和其他服务业</c:v>
                </c:pt>
                <c:pt idx="6">
                  <c:v>建筑业</c:v>
                </c:pt>
                <c:pt idx="7">
                  <c:v>住宿和餐饮业</c:v>
                </c:pt>
                <c:pt idx="8">
                  <c:v>制造业</c:v>
                </c:pt>
                <c:pt idx="9">
                  <c:v>卫生和社会工作</c:v>
                </c:pt>
              </c:strCache>
            </c:strRef>
          </c:cat>
          <c:val>
            <c:numRef>
              <c:f>Sheet1!$B$2:$B$11</c:f>
              <c:numCache>
                <c:formatCode>0.00%</c:formatCode>
                <c:ptCount val="10"/>
                <c:pt idx="0">
                  <c:v>0.0395</c:v>
                </c:pt>
                <c:pt idx="1">
                  <c:v>0.0476</c:v>
                </c:pt>
                <c:pt idx="2">
                  <c:v>0.0476</c:v>
                </c:pt>
                <c:pt idx="3">
                  <c:v>0.0503</c:v>
                </c:pt>
                <c:pt idx="4">
                  <c:v>0.0531</c:v>
                </c:pt>
                <c:pt idx="5">
                  <c:v>0.0571</c:v>
                </c:pt>
                <c:pt idx="6">
                  <c:v>0.0707</c:v>
                </c:pt>
                <c:pt idx="7">
                  <c:v>0.0939</c:v>
                </c:pt>
                <c:pt idx="8">
                  <c:v>0.1442</c:v>
                </c:pt>
                <c:pt idx="9">
                  <c:v>0.2177</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972182824"/>
        <c:crosses val="autoZero"/>
        <c:auto val="1"/>
        <c:lblAlgn val="ctr"/>
        <c:lblOffset val="100"/>
        <c:noMultiLvlLbl val="0"/>
      </c:catAx>
      <c:valAx>
        <c:axId val="972182824"/>
        <c:scaling>
          <c:orientation val="minMax"/>
          <c:max val="0.4"/>
          <c:min val="0"/>
        </c:scaling>
        <c:delete val="0"/>
        <c:axPos val="b"/>
        <c:numFmt formatCode="0.00%" sourceLinked="1"/>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972182432"/>
        <c:crosses val="autoZero"/>
        <c:crossBetween val="between"/>
        <c:majorUnit val="0.1"/>
      </c:valAx>
      <c:spPr>
        <a:solidFill>
          <a:sysClr val="window" lastClr="FFFFFF"/>
        </a:solidFill>
        <a:ln>
          <a:noFill/>
        </a:ln>
        <a:effectLst/>
      </c:spPr>
    </c:plotArea>
    <c:plotVisOnly val="1"/>
    <c:dispBlanksAs val="gap"/>
    <c:showDLblsOverMax val="0"/>
  </c:chart>
  <c:spPr>
    <a:solidFill>
      <a:sysClr val="window" lastClr="FFFFFF"/>
    </a:solidFill>
    <a:ln w="9525" cap="flat" cmpd="sng" algn="ctr">
      <a:noFill/>
      <a:prstDash val="solid"/>
      <a:round/>
    </a:ln>
    <a:effectLst/>
  </c:spPr>
  <c:txPr>
    <a:bodyPr/>
    <a:lstStyle/>
    <a:p>
      <a:pPr>
        <a:defRPr lang="zh-CN"/>
      </a:pPr>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8599945949166"/>
          <c:y val="0.0163854801168723"/>
          <c:w val="0.617121973677341"/>
          <c:h val="0.949013987580821"/>
        </c:manualLayout>
      </c:layout>
      <c:barChart>
        <c:barDir val="bar"/>
        <c:grouping val="clustered"/>
        <c:varyColors val="0"/>
        <c:ser>
          <c:idx val="0"/>
          <c:order val="0"/>
          <c:tx>
            <c:strRef>
              <c:f>Sheet1!$B$1</c:f>
              <c:strCache>
                <c:ptCount val="1"/>
                <c:pt idx="0">
                  <c:v>占比</c:v>
                </c:pt>
              </c:strCache>
            </c:strRef>
          </c:tx>
          <c:spPr>
            <a:solidFill>
              <a:srgbClr val="0F6FC6"/>
            </a:solidFill>
            <a:ln>
              <a:noFill/>
            </a:ln>
            <a:effectLst/>
          </c:spPr>
          <c:invertIfNegative val="0"/>
          <c:dPt>
            <c:idx val="0"/>
            <c:invertIfNegative val="0"/>
            <c:bubble3D val="0"/>
            <c:spPr>
              <a:solidFill>
                <a:srgbClr val="0F6FC6"/>
              </a:solidFill>
              <a:ln>
                <a:noFill/>
              </a:ln>
              <a:effectLst/>
            </c:spPr>
          </c:dPt>
          <c:dPt>
            <c:idx val="1"/>
            <c:invertIfNegative val="0"/>
            <c:bubble3D val="0"/>
            <c:spPr>
              <a:solidFill>
                <a:srgbClr val="0F6FC6"/>
              </a:solidFill>
              <a:ln>
                <a:noFill/>
              </a:ln>
              <a:effectLst/>
            </c:spPr>
          </c:dPt>
          <c:dPt>
            <c:idx val="2"/>
            <c:invertIfNegative val="0"/>
            <c:bubble3D val="0"/>
            <c:spPr>
              <a:solidFill>
                <a:srgbClr val="0F6FC6"/>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ysClr val="windowText" lastClr="000000">
                          <a:shade val="95000"/>
                          <a:satMod val="105000"/>
                        </a:sysClr>
                      </a:solidFill>
                      <a:prstDash val="solid"/>
                      <a:round/>
                    </a:ln>
                    <a:effectLst/>
                  </c:spPr>
                </c15:leaderLines>
              </c:ext>
            </c:extLst>
          </c:dLbls>
          <c:cat>
            <c:strRef>
              <c:f>Sheet1!$A$2:$A$11</c:f>
              <c:strCache>
                <c:ptCount val="10"/>
                <c:pt idx="0">
                  <c:v>标准化/质量/安全/检验类</c:v>
                </c:pt>
                <c:pt idx="1">
                  <c:v>化工/冶金/机械类</c:v>
                </c:pt>
                <c:pt idx="2">
                  <c:v>社会居民生活服务类</c:v>
                </c:pt>
                <c:pt idx="3">
                  <c:v>金融/经济类</c:v>
                </c:pt>
                <c:pt idx="4">
                  <c:v>商业服务类</c:v>
                </c:pt>
                <c:pt idx="5">
                  <c:v>电气/电力/电子/通信类</c:v>
                </c:pt>
                <c:pt idx="6">
                  <c:v>贸易/物流类</c:v>
                </c:pt>
                <c:pt idx="7">
                  <c:v>建筑建材类</c:v>
                </c:pt>
                <c:pt idx="8">
                  <c:v>人力/行政/营销类</c:v>
                </c:pt>
                <c:pt idx="9">
                  <c:v>医疗卫生类</c:v>
                </c:pt>
              </c:strCache>
            </c:strRef>
          </c:cat>
          <c:val>
            <c:numRef>
              <c:f>Sheet1!$B$2:$B$11</c:f>
              <c:numCache>
                <c:formatCode>0.00%</c:formatCode>
                <c:ptCount val="10"/>
                <c:pt idx="0">
                  <c:v>0.0398</c:v>
                </c:pt>
                <c:pt idx="1">
                  <c:v>0.0398</c:v>
                </c:pt>
                <c:pt idx="2">
                  <c:v>0.045</c:v>
                </c:pt>
                <c:pt idx="3">
                  <c:v>0.0467</c:v>
                </c:pt>
                <c:pt idx="4">
                  <c:v>0.0536</c:v>
                </c:pt>
                <c:pt idx="5">
                  <c:v>0.0571</c:v>
                </c:pt>
                <c:pt idx="6">
                  <c:v>0.0606</c:v>
                </c:pt>
                <c:pt idx="7">
                  <c:v>0.0727</c:v>
                </c:pt>
                <c:pt idx="8">
                  <c:v>0.1055</c:v>
                </c:pt>
                <c:pt idx="9">
                  <c:v>0.2941</c:v>
                </c:pt>
              </c:numCache>
            </c:numRef>
          </c:val>
        </c:ser>
        <c:dLbls>
          <c:showLegendKey val="0"/>
          <c:showVal val="0"/>
          <c:showCatName val="0"/>
          <c:showSerName val="0"/>
          <c:showPercent val="0"/>
          <c:showBubbleSize val="0"/>
        </c:dLbls>
        <c:gapWidth val="99"/>
        <c:axId val="388741360"/>
        <c:axId val="388748976"/>
      </c:barChart>
      <c:catAx>
        <c:axId val="388741360"/>
        <c:scaling>
          <c:orientation val="minMax"/>
        </c:scaling>
        <c:delete val="0"/>
        <c:axPos val="l"/>
        <c:numFmt formatCode="General" sourceLinked="0"/>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388748976"/>
        <c:crosses val="autoZero"/>
        <c:auto val="1"/>
        <c:lblAlgn val="ctr"/>
        <c:lblOffset val="100"/>
        <c:noMultiLvlLbl val="0"/>
      </c:catAx>
      <c:valAx>
        <c:axId val="388748976"/>
        <c:scaling>
          <c:orientation val="minMax"/>
          <c:max val="0.3"/>
          <c:min val="0"/>
        </c:scaling>
        <c:delete val="0"/>
        <c:axPos val="b"/>
        <c:numFmt formatCode="0.00%" sourceLinked="1"/>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388741360"/>
        <c:crosses val="autoZero"/>
        <c:crossBetween val="between"/>
        <c:majorUnit val="0.1"/>
      </c:valAx>
      <c:spPr>
        <a:solidFill>
          <a:sysClr val="window" lastClr="FFFFFF"/>
        </a:solidFill>
        <a:ln>
          <a:noFill/>
        </a:ln>
        <a:effectLst/>
      </c:spPr>
    </c:plotArea>
    <c:plotVisOnly val="1"/>
    <c:dispBlanksAs val="gap"/>
    <c:showDLblsOverMax val="0"/>
  </c:chart>
  <c:spPr>
    <a:solidFill>
      <a:sysClr val="window" lastClr="FFFFFF"/>
    </a:solidFill>
    <a:ln w="9525" cap="flat" cmpd="sng" algn="ctr">
      <a:noFill/>
      <a:prstDash val="solid"/>
      <a:round/>
    </a:ln>
    <a:effectLst/>
  </c:spPr>
  <c:txPr>
    <a:bodyPr/>
    <a:lstStyle/>
    <a:p>
      <a:pPr>
        <a:defRPr lang="zh-CN"/>
      </a:pPr>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69795239009758"/>
          <c:y val="0.0251764691941724"/>
          <c:w val="0.805787743074867"/>
          <c:h val="0.944675430215575"/>
        </c:manualLayout>
      </c:layout>
      <c:barChart>
        <c:barDir val="bar"/>
        <c:grouping val="clustered"/>
        <c:varyColors val="0"/>
        <c:ser>
          <c:idx val="0"/>
          <c:order val="0"/>
          <c:tx>
            <c:strRef>
              <c:f>Sheet1!$B$1</c:f>
              <c:strCache>
                <c:ptCount val="1"/>
                <c:pt idx="0">
                  <c:v>我工作的平均月收入（税前）</c:v>
                </c:pt>
              </c:strCache>
            </c:strRef>
          </c:tx>
          <c:spPr>
            <a:solidFill>
              <a:srgbClr val="0F6FC6"/>
            </a:solidFill>
            <a:ln>
              <a:noFill/>
            </a:ln>
          </c:spPr>
          <c:invertIfNegative val="0"/>
          <c:dPt>
            <c:idx val="2"/>
            <c:invertIfNegative val="0"/>
            <c:bubble3D val="0"/>
          </c:dPt>
          <c:dLbls>
            <c:numFmt formatCode="0.00_);[Red]\(0.00\)" sourceLinked="0"/>
            <c:spPr>
              <a:noFill/>
              <a:ln>
                <a:noFill/>
              </a:ln>
              <a:effectLst/>
            </c:spPr>
            <c:txPr>
              <a:bodyPr rot="0" spcFirstLastPara="0" vertOverflow="ellipsis" vert="horz" wrap="square" lIns="38100" tIns="19050" rIns="38100" bIns="19050" anchor="ctr" anchorCtr="0"/>
              <a:lstStyle/>
              <a:p>
                <a:pPr algn="l">
                  <a:defRPr lang="zh-CN" sz="900" b="0" i="0" u="none" strike="noStrike" kern="1200" baseline="0">
                    <a:solidFill>
                      <a:sysClr val="windowText" lastClr="000000"/>
                    </a:solidFill>
                    <a:latin typeface="Arial" panose="020B0604020202020204" pitchFamily="2"/>
                    <a:ea typeface="+mn-ea"/>
                    <a:cs typeface="Arial" panose="020B0604020202020204" pitchFamily="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Sheet1!$A$2:$A$13</c:f>
              <c:strCache>
                <c:ptCount val="12"/>
                <c:pt idx="0">
                  <c:v>金融/经济类</c:v>
                </c:pt>
                <c:pt idx="1">
                  <c:v>医疗卫生类</c:v>
                </c:pt>
                <c:pt idx="2">
                  <c:v>商业服务类</c:v>
                </c:pt>
                <c:pt idx="3">
                  <c:v>化工/冶金/机械类</c:v>
                </c:pt>
                <c:pt idx="4">
                  <c:v>社会居民生活服务类</c:v>
                </c:pt>
                <c:pt idx="5">
                  <c:v>标准化/质量/安全/检验类</c:v>
                </c:pt>
                <c:pt idx="6">
                  <c:v>教育/培训/科研类</c:v>
                </c:pt>
                <c:pt idx="7">
                  <c:v>人力/行政/营销类</c:v>
                </c:pt>
                <c:pt idx="8">
                  <c:v>电气/电力/电子/通信类</c:v>
                </c:pt>
                <c:pt idx="9">
                  <c:v>贸易/物流类</c:v>
                </c:pt>
                <c:pt idx="10">
                  <c:v>建筑建材类</c:v>
                </c:pt>
                <c:pt idx="11">
                  <c:v>计算机/互联网类</c:v>
                </c:pt>
              </c:strCache>
            </c:strRef>
          </c:cat>
          <c:val>
            <c:numRef>
              <c:f>Sheet1!$B$2:$B$13</c:f>
              <c:numCache>
                <c:formatCode>0.00_);[Red]\(0.00\)</c:formatCode>
                <c:ptCount val="12"/>
                <c:pt idx="0">
                  <c:v>3764</c:v>
                </c:pt>
                <c:pt idx="1">
                  <c:v>3832</c:v>
                </c:pt>
                <c:pt idx="2">
                  <c:v>4138</c:v>
                </c:pt>
                <c:pt idx="3">
                  <c:v>4546</c:v>
                </c:pt>
                <c:pt idx="4">
                  <c:v>4546</c:v>
                </c:pt>
                <c:pt idx="5">
                  <c:v>4546</c:v>
                </c:pt>
                <c:pt idx="6">
                  <c:v>4823</c:v>
                </c:pt>
                <c:pt idx="7">
                  <c:v>4852</c:v>
                </c:pt>
                <c:pt idx="8">
                  <c:v>5046</c:v>
                </c:pt>
                <c:pt idx="9">
                  <c:v>5331</c:v>
                </c:pt>
                <c:pt idx="10">
                  <c:v>5461</c:v>
                </c:pt>
                <c:pt idx="11">
                  <c:v>5700</c:v>
                </c:pt>
              </c:numCache>
            </c:numRef>
          </c:val>
        </c:ser>
        <c:ser>
          <c:idx val="1"/>
          <c:order val="1"/>
          <c:spPr>
            <a:solidFill>
              <a:srgbClr val="009DD9"/>
            </a:solidFill>
            <a:ln>
              <a:noFill/>
            </a:ln>
          </c:spPr>
          <c:invertIfNegative val="0"/>
          <c:dLbls>
            <c:delete val="1"/>
          </c:dLbls>
          <c:cat>
            <c:strRef>
              <c:f>Sheet1!$A$2:$A$7</c:f>
              <c:strCache>
                <c:ptCount val="12"/>
                <c:pt idx="0">
                  <c:v>金融/经济类</c:v>
                </c:pt>
                <c:pt idx="1">
                  <c:v>医疗卫生类</c:v>
                </c:pt>
                <c:pt idx="2">
                  <c:v>商业服务类</c:v>
                </c:pt>
                <c:pt idx="3">
                  <c:v>化工/冶金/机械类</c:v>
                </c:pt>
                <c:pt idx="4">
                  <c:v>社会居民生活服务类</c:v>
                </c:pt>
                <c:pt idx="5">
                  <c:v>标准化/质量/安全/检验类</c:v>
                </c:pt>
                <c:pt idx="6">
                  <c:v>教育/培训/科研类</c:v>
                </c:pt>
                <c:pt idx="7">
                  <c:v>人力/行政/营销类</c:v>
                </c:pt>
                <c:pt idx="8">
                  <c:v>电气/电力/电子/通信类</c:v>
                </c:pt>
                <c:pt idx="9">
                  <c:v>贸易/物流类</c:v>
                </c:pt>
                <c:pt idx="10">
                  <c:v>建筑建材类</c:v>
                </c:pt>
                <c:pt idx="11">
                  <c:v>计算机/互联网类</c:v>
                </c:pt>
              </c:strCache>
            </c:strRef>
          </c:cat>
          <c:val>
            <c:numRef>
              <c:f>Sheet1!$A$2:$A$7</c:f>
              <c:numCache>
                <c:formatCode>General</c:formatCode>
                <c:ptCount val="6"/>
                <c:pt idx="0">
                  <c:v>0</c:v>
                </c:pt>
                <c:pt idx="1">
                  <c:v>0</c:v>
                </c:pt>
                <c:pt idx="2">
                  <c:v>0</c:v>
                </c:pt>
                <c:pt idx="3">
                  <c:v>0</c:v>
                </c:pt>
                <c:pt idx="4">
                  <c:v>0</c:v>
                </c:pt>
                <c:pt idx="5">
                  <c:v>0</c:v>
                </c:pt>
              </c:numCache>
            </c:numRef>
          </c:val>
        </c:ser>
        <c:dLbls>
          <c:showLegendKey val="0"/>
          <c:showVal val="1"/>
          <c:showCatName val="0"/>
          <c:showSerName val="0"/>
          <c:showPercent val="0"/>
          <c:showBubbleSize val="0"/>
        </c:dLbls>
        <c:gapWidth val="30"/>
        <c:axId val="972181256"/>
        <c:axId val="972181648"/>
      </c:barChart>
      <c:catAx>
        <c:axId val="972181256"/>
        <c:scaling>
          <c:orientation val="minMax"/>
        </c:scaling>
        <c:delete val="0"/>
        <c:axPos val="l"/>
        <c:numFmt formatCode="General" sourceLinked="1"/>
        <c:majorTickMark val="none"/>
        <c:minorTickMark val="none"/>
        <c:tickLblPos val="nextTo"/>
        <c:spPr>
          <a:noFill/>
          <a:ln w="12700" cap="flat" cmpd="sng" algn="ctr">
            <a:solidFill>
              <a:sysClr val="window" lastClr="FFFFFF">
                <a:lumMod val="50000"/>
              </a:sysClr>
            </a:solidFill>
            <a:prstDash val="solid"/>
            <a:round/>
          </a:ln>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972181648"/>
        <c:crosses val="autoZero"/>
        <c:auto val="1"/>
        <c:lblAlgn val="ctr"/>
        <c:lblOffset val="100"/>
        <c:tickLblSkip val="1"/>
        <c:noMultiLvlLbl val="0"/>
      </c:catAx>
      <c:valAx>
        <c:axId val="972181648"/>
        <c:scaling>
          <c:orientation val="minMax"/>
          <c:max val="8000"/>
          <c:min val="0"/>
        </c:scaling>
        <c:delete val="0"/>
        <c:axPos val="b"/>
        <c:numFmt formatCode="0.00_);[Red]\(0.00\)" sourceLinked="1"/>
        <c:majorTickMark val="in"/>
        <c:minorTickMark val="none"/>
        <c:tickLblPos val="nextTo"/>
        <c:spPr>
          <a:noFill/>
          <a:ln w="9525" cap="flat" cmpd="sng" algn="ctr">
            <a:solidFill>
              <a:sysClr val="windowText" lastClr="000000">
                <a:tint val="75000"/>
                <a:shade val="95000"/>
                <a:satMod val="105000"/>
              </a:sysClr>
            </a:solidFill>
            <a:prstDash val="solid"/>
            <a:round/>
          </a:ln>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972181256"/>
        <c:crosses val="autoZero"/>
        <c:crossBetween val="between"/>
        <c:majorUnit val="2000"/>
      </c:valAx>
      <c:spPr>
        <a:solidFill>
          <a:sysClr val="window" lastClr="FFFFFF"/>
        </a:solidFill>
        <a:ln>
          <a:noFill/>
        </a:ln>
      </c:spPr>
    </c:plotArea>
    <c:plotVisOnly val="1"/>
    <c:dispBlanksAs val="gap"/>
    <c:showDLblsOverMax val="0"/>
  </c:chart>
  <c:spPr>
    <a:solidFill>
      <a:sysClr val="window" lastClr="FFFFFF"/>
    </a:solidFill>
    <a:ln w="9525" cap="flat" cmpd="sng" algn="ctr">
      <a:noFill/>
      <a:prstDash val="solid"/>
      <a:round/>
    </a:ln>
  </c:spPr>
  <c:txPr>
    <a:bodyPr/>
    <a:lstStyle/>
    <a:p>
      <a:pPr>
        <a:defRPr lang="zh-CN" sz="1000"/>
      </a:pPr>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9473192274656"/>
          <c:y val="0.0339102882409969"/>
          <c:w val="0.464121711437551"/>
          <c:h val="0.897730013478045"/>
        </c:manualLayout>
      </c:layout>
      <c:barChart>
        <c:barDir val="bar"/>
        <c:grouping val="clustered"/>
        <c:varyColors val="0"/>
        <c:ser>
          <c:idx val="0"/>
          <c:order val="0"/>
          <c:tx>
            <c:strRef>
              <c:f>Sheet1!$B$1</c:f>
              <c:strCache>
                <c:ptCount val="1"/>
                <c:pt idx="0">
                  <c:v>工作总体</c:v>
                </c:pt>
              </c:strCache>
            </c:strRef>
          </c:tx>
          <c:spPr>
            <a:solidFill>
              <a:srgbClr val="0F6FC6"/>
            </a:solidFill>
            <a:ln>
              <a:noFill/>
            </a:ln>
          </c:spPr>
          <c:invertIfNegative val="0"/>
          <c:dPt>
            <c:idx val="0"/>
            <c:invertIfNegative val="0"/>
            <c:bubble3D val="0"/>
          </c:dPt>
          <c:dPt>
            <c:idx val="1"/>
            <c:invertIfNegative val="0"/>
            <c:bubble3D val="0"/>
          </c:dPt>
          <c:dPt>
            <c:idx val="2"/>
            <c:invertIfNegative val="0"/>
            <c:bubble3D val="0"/>
          </c:dPt>
          <c:dPt>
            <c:idx val="11"/>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Sheet1!$A$2:$A$13</c:f>
              <c:strCache>
                <c:ptCount val="12"/>
                <c:pt idx="0">
                  <c:v>建筑建材类</c:v>
                </c:pt>
                <c:pt idx="1">
                  <c:v>商业服务类</c:v>
                </c:pt>
                <c:pt idx="2">
                  <c:v>金融/经济类</c:v>
                </c:pt>
                <c:pt idx="3">
                  <c:v>社会居民生活服务类</c:v>
                </c:pt>
                <c:pt idx="4">
                  <c:v>电气/电力/电子/通信类</c:v>
                </c:pt>
                <c:pt idx="5">
                  <c:v>计算机/互联网类</c:v>
                </c:pt>
                <c:pt idx="6">
                  <c:v>医疗卫生类</c:v>
                </c:pt>
                <c:pt idx="7">
                  <c:v>化工/冶金/机械类</c:v>
                </c:pt>
                <c:pt idx="8">
                  <c:v>人力/行政/营销类</c:v>
                </c:pt>
                <c:pt idx="9">
                  <c:v>贸易/物流类</c:v>
                </c:pt>
                <c:pt idx="10">
                  <c:v>标准化/质量/安全/检验类</c:v>
                </c:pt>
                <c:pt idx="11">
                  <c:v>教育/培训/科研类</c:v>
                </c:pt>
              </c:strCache>
            </c:strRef>
          </c:cat>
          <c:val>
            <c:numRef>
              <c:f>Sheet1!$B$2:$B$13</c:f>
              <c:numCache>
                <c:formatCode>0.00%</c:formatCode>
                <c:ptCount val="12"/>
                <c:pt idx="0">
                  <c:v>0.8056</c:v>
                </c:pt>
                <c:pt idx="1">
                  <c:v>0.8519</c:v>
                </c:pt>
                <c:pt idx="2">
                  <c:v>0.8889</c:v>
                </c:pt>
                <c:pt idx="3">
                  <c:v>0.9167</c:v>
                </c:pt>
                <c:pt idx="4">
                  <c:v>0.9355</c:v>
                </c:pt>
                <c:pt idx="5">
                  <c:v>0.9375</c:v>
                </c:pt>
                <c:pt idx="6">
                  <c:v>0.9487</c:v>
                </c:pt>
                <c:pt idx="7">
                  <c:v>0.9524</c:v>
                </c:pt>
                <c:pt idx="8">
                  <c:v>0.9825</c:v>
                </c:pt>
                <c:pt idx="9">
                  <c:v>1</c:v>
                </c:pt>
                <c:pt idx="10">
                  <c:v>1</c:v>
                </c:pt>
                <c:pt idx="11">
                  <c:v>1</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ysClr val="windowText" lastClr="000000">
                <a:tint val="75000"/>
                <a:shade val="95000"/>
                <a:satMod val="105000"/>
              </a:sysClr>
            </a:solidFill>
            <a:prstDash val="solid"/>
            <a:round/>
          </a:ln>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972182824"/>
        <c:crosses val="autoZero"/>
        <c:auto val="1"/>
        <c:lblAlgn val="ctr"/>
        <c:lblOffset val="100"/>
        <c:noMultiLvlLbl val="0"/>
      </c:catAx>
      <c:valAx>
        <c:axId val="972182824"/>
        <c:scaling>
          <c:orientation val="minMax"/>
          <c:max val="1"/>
          <c:min val="0"/>
        </c:scaling>
        <c:delete val="0"/>
        <c:axPos val="b"/>
        <c:numFmt formatCode="0.00%" sourceLinked="1"/>
        <c:majorTickMark val="in"/>
        <c:minorTickMark val="none"/>
        <c:tickLblPos val="nextTo"/>
        <c:spPr>
          <a:noFill/>
          <a:ln w="9525" cap="flat" cmpd="sng" algn="ctr">
            <a:solidFill>
              <a:sysClr val="windowText" lastClr="000000">
                <a:tint val="75000"/>
                <a:shade val="95000"/>
                <a:satMod val="105000"/>
              </a:sysClr>
            </a:solidFill>
            <a:prstDash val="solid"/>
            <a:round/>
          </a:ln>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972182432"/>
        <c:crosses val="autoZero"/>
        <c:crossBetween val="between"/>
        <c:majorUnit val="0.2"/>
      </c:valAx>
      <c:spPr>
        <a:solidFill>
          <a:sysClr val="window" lastClr="FFFFFF"/>
        </a:solidFill>
        <a:ln>
          <a:noFill/>
        </a:ln>
      </c:spPr>
    </c:plotArea>
    <c:plotVisOnly val="1"/>
    <c:dispBlanksAs val="gap"/>
    <c:showDLblsOverMax val="0"/>
  </c:chart>
  <c:spPr>
    <a:solidFill>
      <a:sysClr val="window" lastClr="FFFFFF"/>
    </a:solidFill>
    <a:ln w="9525" cap="flat" cmpd="sng" algn="ctr">
      <a:noFill/>
      <a:prstDash val="solid"/>
      <a:round/>
    </a:ln>
  </c:spPr>
  <c:txPr>
    <a:bodyPr/>
    <a:lstStyle/>
    <a:p>
      <a:pPr>
        <a:defRPr lang="zh-CN"/>
      </a:pPr>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9581809359747"/>
          <c:y val="0.0497203231821007"/>
          <c:w val="0.610915420337737"/>
          <c:h val="0.862526741729604"/>
        </c:manualLayout>
      </c:layout>
      <c:barChart>
        <c:barDir val="bar"/>
        <c:grouping val="clustered"/>
        <c:varyColors val="0"/>
        <c:ser>
          <c:idx val="0"/>
          <c:order val="0"/>
          <c:tx>
            <c:strRef>
              <c:f>Sheet1!$B$1</c:f>
              <c:strCache>
                <c:ptCount val="1"/>
                <c:pt idx="0">
                  <c:v>正式参加工作以来（实习不计），我离职的次数</c:v>
                </c:pt>
              </c:strCache>
            </c:strRef>
          </c:tx>
          <c:spPr>
            <a:solidFill>
              <a:srgbClr val="0F6FC6"/>
            </a:solidFill>
            <a:ln>
              <a:noFill/>
            </a:ln>
            <a:effectLst/>
          </c:spPr>
          <c:invertIfNegative val="0"/>
          <c:dPt>
            <c:idx val="0"/>
            <c:invertIfNegative val="0"/>
            <c:bubble3D val="0"/>
            <c:spPr>
              <a:solidFill>
                <a:srgbClr val="0F6FC6"/>
              </a:solidFill>
              <a:ln>
                <a:noFill/>
              </a:ln>
              <a:effectLst/>
            </c:spPr>
          </c:dPt>
          <c:dPt>
            <c:idx val="1"/>
            <c:invertIfNegative val="0"/>
            <c:bubble3D val="0"/>
            <c:spPr>
              <a:solidFill>
                <a:srgbClr val="0F6FC6"/>
              </a:solidFill>
              <a:ln>
                <a:noFill/>
              </a:ln>
              <a:effectLst/>
            </c:spPr>
          </c:dPt>
          <c:dPt>
            <c:idx val="2"/>
            <c:invertIfNegative val="0"/>
            <c:bubble3D val="0"/>
            <c:spPr>
              <a:solidFill>
                <a:srgbClr val="0F6FC6"/>
              </a:solidFill>
              <a:ln>
                <a:noFill/>
              </a:ln>
              <a:effectLst/>
            </c:spPr>
          </c:dPt>
          <c:dPt>
            <c:idx val="11"/>
            <c:invertIfNegative val="0"/>
            <c:bubble3D val="0"/>
            <c:spPr>
              <a:solidFill>
                <a:srgbClr val="0F6FC6"/>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ysClr val="windowText" lastClr="000000">
                          <a:shade val="95000"/>
                          <a:satMod val="105000"/>
                        </a:sysClr>
                      </a:solidFill>
                      <a:prstDash val="solid"/>
                      <a:round/>
                    </a:ln>
                    <a:effectLst/>
                  </c:spPr>
                </c15:leaderLines>
              </c:ext>
            </c:extLst>
          </c:dLbls>
          <c:cat>
            <c:strRef>
              <c:f>Sheet1!$A$2:$A$13</c:f>
              <c:strCache>
                <c:ptCount val="12"/>
                <c:pt idx="0">
                  <c:v>标准化/质量/安全/检验类</c:v>
                </c:pt>
                <c:pt idx="1">
                  <c:v>化工/冶金/机械类</c:v>
                </c:pt>
                <c:pt idx="2">
                  <c:v>医疗卫生类</c:v>
                </c:pt>
                <c:pt idx="3">
                  <c:v>人力/行政/营销类</c:v>
                </c:pt>
                <c:pt idx="4">
                  <c:v>教育/培训/科研类</c:v>
                </c:pt>
                <c:pt idx="5">
                  <c:v>贸易/物流类</c:v>
                </c:pt>
                <c:pt idx="6">
                  <c:v>金融/经济类</c:v>
                </c:pt>
                <c:pt idx="7">
                  <c:v>社会居民生活服务类</c:v>
                </c:pt>
                <c:pt idx="8">
                  <c:v>建筑建材类</c:v>
                </c:pt>
                <c:pt idx="9">
                  <c:v>电气/电力/电子/通信类</c:v>
                </c:pt>
                <c:pt idx="10">
                  <c:v>商业服务类</c:v>
                </c:pt>
                <c:pt idx="11">
                  <c:v>计算机/互联网类</c:v>
                </c:pt>
              </c:strCache>
            </c:strRef>
          </c:cat>
          <c:val>
            <c:numRef>
              <c:f>Sheet1!$B$2:$B$13</c:f>
              <c:numCache>
                <c:formatCode>0.00%</c:formatCode>
                <c:ptCount val="12"/>
                <c:pt idx="0">
                  <c:v>0.1304</c:v>
                </c:pt>
                <c:pt idx="1">
                  <c:v>0.3478</c:v>
                </c:pt>
                <c:pt idx="2">
                  <c:v>0.372</c:v>
                </c:pt>
                <c:pt idx="3">
                  <c:v>0.4068</c:v>
                </c:pt>
                <c:pt idx="4">
                  <c:v>0.4615</c:v>
                </c:pt>
                <c:pt idx="5">
                  <c:v>0.4706</c:v>
                </c:pt>
                <c:pt idx="6">
                  <c:v>0.5</c:v>
                </c:pt>
                <c:pt idx="7">
                  <c:v>0.5</c:v>
                </c:pt>
                <c:pt idx="8">
                  <c:v>0.5</c:v>
                </c:pt>
                <c:pt idx="9">
                  <c:v>0.5152</c:v>
                </c:pt>
                <c:pt idx="10">
                  <c:v>0.5517</c:v>
                </c:pt>
                <c:pt idx="11">
                  <c:v>0.625</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972182824"/>
        <c:crosses val="autoZero"/>
        <c:auto val="1"/>
        <c:lblAlgn val="ctr"/>
        <c:lblOffset val="100"/>
        <c:noMultiLvlLbl val="0"/>
      </c:catAx>
      <c:valAx>
        <c:axId val="972182824"/>
        <c:scaling>
          <c:orientation val="minMax"/>
          <c:max val="0.7"/>
          <c:min val="0"/>
        </c:scaling>
        <c:delete val="0"/>
        <c:axPos val="b"/>
        <c:numFmt formatCode="0.00%" sourceLinked="1"/>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972182432"/>
        <c:crosses val="autoZero"/>
        <c:crossBetween val="between"/>
        <c:majorUnit val="0.2"/>
      </c:valAx>
      <c:spPr>
        <a:solidFill>
          <a:sysClr val="window" lastClr="FFFFFF"/>
        </a:solidFill>
        <a:ln>
          <a:noFill/>
        </a:ln>
        <a:effectLst/>
      </c:spPr>
    </c:plotArea>
    <c:plotVisOnly val="1"/>
    <c:dispBlanksAs val="gap"/>
    <c:showDLblsOverMax val="0"/>
  </c:chart>
  <c:spPr>
    <a:solidFill>
      <a:sysClr val="window" lastClr="FFFFFF"/>
    </a:solidFill>
    <a:ln w="9525" cap="flat" cmpd="sng" algn="ctr">
      <a:noFill/>
      <a:prstDash val="solid"/>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4501000446242"/>
          <c:y val="0.0567992227715722"/>
          <c:w val="0.670623923380693"/>
          <c:h val="0.434547529384914"/>
        </c:manualLayout>
      </c:layout>
      <c:barChart>
        <c:barDir val="col"/>
        <c:grouping val="clustered"/>
        <c:varyColors val="0"/>
        <c:ser>
          <c:idx val="0"/>
          <c:order val="0"/>
          <c:tx>
            <c:strRef>
              <c:f>Sheet1!$B$1</c:f>
              <c:strCache>
                <c:ptCount val="1"/>
                <c:pt idx="0">
                  <c:v>本校2022届本科毕业生</c:v>
                </c:pt>
              </c:strCache>
            </c:strRef>
          </c:tx>
          <c:spPr>
            <a:solidFill>
              <a:srgbClr val="0F6FC6"/>
            </a:solidFill>
            <a:ln>
              <a:noFill/>
            </a:ln>
          </c:spPr>
          <c:invertIfNegative val="1"/>
          <c:dLbls>
            <c:delete val="1"/>
          </c:dLbls>
          <c:cat>
            <c:strRef>
              <c:f>Sheet1!$A$2:$A$7</c:f>
              <c:strCache>
                <c:ptCount val="6"/>
                <c:pt idx="0">
                  <c:v>国内工作</c:v>
                </c:pt>
                <c:pt idx="1">
                  <c:v>国内求学</c:v>
                </c:pt>
                <c:pt idx="2">
                  <c:v>自由职业</c:v>
                </c:pt>
                <c:pt idx="3">
                  <c:v>自主创业</c:v>
                </c:pt>
                <c:pt idx="4">
                  <c:v>出国/出境留学</c:v>
                </c:pt>
                <c:pt idx="5">
                  <c:v>未就业</c:v>
                </c:pt>
              </c:strCache>
            </c:strRef>
          </c:cat>
          <c:val>
            <c:numRef>
              <c:f>Sheet1!$B$2:$B$7</c:f>
              <c:numCache>
                <c:formatCode>0.00%</c:formatCode>
                <c:ptCount val="6"/>
                <c:pt idx="0">
                  <c:v>0.7431</c:v>
                </c:pt>
                <c:pt idx="1">
                  <c:v>0.0069</c:v>
                </c:pt>
                <c:pt idx="2">
                  <c:v>0.0764</c:v>
                </c:pt>
                <c:pt idx="3">
                  <c:v>0.0278</c:v>
                </c:pt>
                <c:pt idx="4">
                  <c:v>0.0139</c:v>
                </c:pt>
                <c:pt idx="5">
                  <c:v>0.1319</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Sheet1!$C$1</c:f>
              <c:strCache>
                <c:ptCount val="1"/>
                <c:pt idx="0">
                  <c:v>全国高校2022届本科毕业生</c:v>
                </c:pt>
              </c:strCache>
            </c:strRef>
          </c:tx>
          <c:invertIfNegative val="0"/>
          <c:dLbls>
            <c:delete val="1"/>
          </c:dLbls>
          <c:cat>
            <c:strRef>
              <c:f>Sheet1!$A$2:$A$7</c:f>
              <c:strCache>
                <c:ptCount val="6"/>
                <c:pt idx="0">
                  <c:v>国内工作</c:v>
                </c:pt>
                <c:pt idx="1">
                  <c:v>国内求学</c:v>
                </c:pt>
                <c:pt idx="2">
                  <c:v>自由职业</c:v>
                </c:pt>
                <c:pt idx="3">
                  <c:v>自主创业</c:v>
                </c:pt>
                <c:pt idx="4">
                  <c:v>出国/出境留学</c:v>
                </c:pt>
                <c:pt idx="5">
                  <c:v>未就业</c:v>
                </c:pt>
              </c:strCache>
            </c:strRef>
          </c:cat>
          <c:val>
            <c:numRef>
              <c:f>Sheet1!$C$2:$C$7</c:f>
              <c:numCache>
                <c:formatCode>0.00%</c:formatCode>
                <c:ptCount val="6"/>
                <c:pt idx="0">
                  <c:v>0.4971</c:v>
                </c:pt>
                <c:pt idx="1">
                  <c:v>0.2173</c:v>
                </c:pt>
                <c:pt idx="2">
                  <c:v>0.0532</c:v>
                </c:pt>
                <c:pt idx="3">
                  <c:v>0.0124</c:v>
                </c:pt>
                <c:pt idx="4">
                  <c:v>0.0121</c:v>
                </c:pt>
                <c:pt idx="5">
                  <c:v>0.2042</c:v>
                </c:pt>
              </c:numCache>
            </c:numRef>
          </c:val>
        </c:ser>
        <c:dLbls>
          <c:showLegendKey val="0"/>
          <c:showVal val="0"/>
          <c:showCatName val="0"/>
          <c:showSerName val="0"/>
          <c:showPercent val="0"/>
          <c:showBubbleSize val="0"/>
        </c:dLbls>
        <c:gapWidth val="219"/>
        <c:overlap val="-27"/>
        <c:axId val="897010696"/>
        <c:axId val="897011088"/>
      </c:barChart>
      <c:catAx>
        <c:axId val="897010696"/>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15000"/>
                <a:lumOff val="85000"/>
              </a:sysClr>
            </a:solidFill>
            <a:prstDash val="solid"/>
            <a:round/>
          </a:ln>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897011088"/>
        <c:crosses val="autoZero"/>
        <c:auto val="1"/>
        <c:lblAlgn val="ctr"/>
        <c:lblOffset val="100"/>
        <c:noMultiLvlLbl val="0"/>
      </c:catAx>
      <c:valAx>
        <c:axId val="897011088"/>
        <c:scaling>
          <c:orientation val="minMax"/>
          <c:max val="1"/>
        </c:scaling>
        <c:delete val="0"/>
        <c:axPos val="l"/>
        <c:numFmt formatCode="0.00%" sourceLinked="1"/>
        <c:majorTickMark val="in"/>
        <c:minorTickMark val="none"/>
        <c:tickLblPos val="nextTo"/>
        <c:spPr>
          <a:noFill/>
          <a:ln w="9525" cap="flat" cmpd="sng" algn="ctr">
            <a:solidFill>
              <a:sysClr val="window" lastClr="FFFFFF">
                <a:lumMod val="65000"/>
              </a:sysClr>
            </a:solidFill>
            <a:prstDash val="solid"/>
            <a:round/>
          </a:ln>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897010696"/>
        <c:crosses val="autoZero"/>
        <c:crossBetween val="between"/>
        <c:majorUnit val="0.2"/>
      </c:valAx>
      <c:dTable>
        <c:showHorzBorder val="1"/>
        <c:showVertBorder val="1"/>
        <c:showOutline val="1"/>
        <c:showKeys val="1"/>
        <c:spPr>
          <a:noFill/>
          <a:ln w="9525" cap="flat" cmpd="sng" algn="ctr">
            <a:solidFill>
              <a:sysClr val="window" lastClr="FFFFFF">
                <a:lumMod val="50000"/>
              </a:sysClr>
            </a:solidFill>
            <a:prstDash val="solid"/>
            <a:round/>
          </a:ln>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dTable>
      <c:spPr>
        <a:noFill/>
        <a:ln>
          <a:solidFill>
            <a:sysClr val="window" lastClr="FFFFFF"/>
          </a:solidFill>
        </a:ln>
      </c:spPr>
    </c:plotArea>
    <c:plotVisOnly val="1"/>
    <c:dispBlanksAs val="gap"/>
    <c:showDLblsOverMax val="0"/>
  </c:chart>
  <c:spPr>
    <a:solidFill>
      <a:sysClr val="window" lastClr="FFFFFF"/>
    </a:solidFill>
    <a:ln w="9525" cap="flat" cmpd="sng" algn="ctr">
      <a:solidFill>
        <a:sysClr val="window" lastClr="FFFFFF"/>
      </a:solidFill>
      <a:prstDash val="solid"/>
      <a:round/>
    </a:ln>
  </c:spPr>
  <c:txPr>
    <a:bodyPr/>
    <a:lstStyle/>
    <a:p>
      <a:pPr>
        <a:defRPr lang="zh-CN"/>
      </a:pPr>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8769459619142"/>
          <c:y val="0.0497203231821007"/>
          <c:w val="0.471727770078342"/>
          <c:h val="0.889434052878119"/>
        </c:manualLayout>
      </c:layout>
      <c:barChart>
        <c:barDir val="bar"/>
        <c:grouping val="clustered"/>
        <c:varyColors val="0"/>
        <c:ser>
          <c:idx val="0"/>
          <c:order val="0"/>
          <c:tx>
            <c:strRef>
              <c:f>Sheet1!$B$1</c:f>
              <c:strCache>
                <c:ptCount val="1"/>
                <c:pt idx="0">
                  <c:v>占比</c:v>
                </c:pt>
              </c:strCache>
            </c:strRef>
          </c:tx>
          <c:spPr>
            <a:solidFill>
              <a:srgbClr val="0F6FC6"/>
            </a:solidFill>
            <a:ln>
              <a:noFill/>
            </a:ln>
            <a:effectLst/>
          </c:spPr>
          <c:invertIfNegative val="0"/>
          <c:dPt>
            <c:idx val="0"/>
            <c:invertIfNegative val="0"/>
            <c:bubble3D val="0"/>
            <c:spPr>
              <a:solidFill>
                <a:srgbClr val="0F6FC6"/>
              </a:solidFill>
              <a:ln>
                <a:noFill/>
              </a:ln>
              <a:effectLst/>
            </c:spPr>
          </c:dPt>
          <c:dPt>
            <c:idx val="1"/>
            <c:invertIfNegative val="0"/>
            <c:bubble3D val="0"/>
            <c:spPr>
              <a:solidFill>
                <a:srgbClr val="0F6FC6"/>
              </a:solidFill>
              <a:ln>
                <a:noFill/>
              </a:ln>
              <a:effectLst/>
            </c:spPr>
          </c:dPt>
          <c:dPt>
            <c:idx val="2"/>
            <c:invertIfNegative val="0"/>
            <c:bubble3D val="0"/>
            <c:spPr>
              <a:solidFill>
                <a:srgbClr val="0F6FC6"/>
              </a:solidFill>
              <a:ln>
                <a:noFill/>
              </a:ln>
              <a:effectLst/>
            </c:spPr>
          </c:dPt>
          <c:dPt>
            <c:idx val="11"/>
            <c:invertIfNegative val="0"/>
            <c:bubble3D val="0"/>
            <c:spPr>
              <a:solidFill>
                <a:srgbClr val="0F6FC6"/>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ysClr val="windowText" lastClr="000000">
                          <a:shade val="95000"/>
                          <a:satMod val="105000"/>
                        </a:sysClr>
                      </a:solidFill>
                      <a:prstDash val="solid"/>
                      <a:round/>
                    </a:ln>
                    <a:effectLst/>
                  </c:spPr>
                </c15:leaderLines>
              </c:ext>
            </c:extLst>
          </c:dLbls>
          <c:cat>
            <c:strRef>
              <c:f>Sheet1!$A$2:$A$14</c:f>
              <c:strCache>
                <c:ptCount val="13"/>
                <c:pt idx="0">
                  <c:v>农村建制村</c:v>
                </c:pt>
                <c:pt idx="1">
                  <c:v>科研设计单位</c:v>
                </c:pt>
                <c:pt idx="2">
                  <c:v>中初教育单位</c:v>
                </c:pt>
                <c:pt idx="3">
                  <c:v>高等教育单位</c:v>
                </c:pt>
                <c:pt idx="4">
                  <c:v>部队</c:v>
                </c:pt>
                <c:pt idx="5">
                  <c:v>三资企业（中外合资经营企业、中外合作经营企业、外商独资经营企业）</c:v>
                </c:pt>
                <c:pt idx="6">
                  <c:v>城镇社区</c:v>
                </c:pt>
                <c:pt idx="7">
                  <c:v>党政机关</c:v>
                </c:pt>
                <c:pt idx="8">
                  <c:v>其他事业单位</c:v>
                </c:pt>
                <c:pt idx="9">
                  <c:v>国有企业</c:v>
                </c:pt>
                <c:pt idx="10">
                  <c:v>其他</c:v>
                </c:pt>
                <c:pt idx="11">
                  <c:v>医疗卫生单位</c:v>
                </c:pt>
                <c:pt idx="12">
                  <c:v>民营企业/个体</c:v>
                </c:pt>
              </c:strCache>
            </c:strRef>
          </c:cat>
          <c:val>
            <c:numRef>
              <c:f>Sheet1!$B$2:$B$14</c:f>
              <c:numCache>
                <c:formatCode>0.00%</c:formatCode>
                <c:ptCount val="13"/>
                <c:pt idx="0">
                  <c:v>0.0015</c:v>
                </c:pt>
                <c:pt idx="1">
                  <c:v>0.0091</c:v>
                </c:pt>
                <c:pt idx="2">
                  <c:v>0.0091</c:v>
                </c:pt>
                <c:pt idx="3">
                  <c:v>0.0106</c:v>
                </c:pt>
                <c:pt idx="4">
                  <c:v>0.0167</c:v>
                </c:pt>
                <c:pt idx="5">
                  <c:v>0.0167</c:v>
                </c:pt>
                <c:pt idx="6">
                  <c:v>0.0288</c:v>
                </c:pt>
                <c:pt idx="7">
                  <c:v>0.0379</c:v>
                </c:pt>
                <c:pt idx="8">
                  <c:v>0.0924</c:v>
                </c:pt>
                <c:pt idx="9">
                  <c:v>0.097</c:v>
                </c:pt>
                <c:pt idx="10">
                  <c:v>0.1803</c:v>
                </c:pt>
                <c:pt idx="11">
                  <c:v>0.2227</c:v>
                </c:pt>
                <c:pt idx="12">
                  <c:v>0.2773</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972182824"/>
        <c:crosses val="autoZero"/>
        <c:auto val="1"/>
        <c:lblAlgn val="ctr"/>
        <c:lblOffset val="100"/>
        <c:noMultiLvlLbl val="0"/>
      </c:catAx>
      <c:valAx>
        <c:axId val="972182824"/>
        <c:scaling>
          <c:orientation val="minMax"/>
          <c:max val="0.5"/>
          <c:min val="0"/>
        </c:scaling>
        <c:delete val="0"/>
        <c:axPos val="b"/>
        <c:numFmt formatCode="0.00%" sourceLinked="1"/>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972182432"/>
        <c:crosses val="autoZero"/>
        <c:crossBetween val="between"/>
        <c:majorUnit val="0.1"/>
      </c:valAx>
      <c:spPr>
        <a:solidFill>
          <a:sysClr val="window" lastClr="FFFFFF"/>
        </a:solidFill>
        <a:ln>
          <a:noFill/>
        </a:ln>
        <a:effectLst/>
      </c:spPr>
    </c:plotArea>
    <c:plotVisOnly val="1"/>
    <c:dispBlanksAs val="gap"/>
    <c:showDLblsOverMax val="0"/>
  </c:chart>
  <c:spPr>
    <a:solidFill>
      <a:sysClr val="window" lastClr="FFFFFF"/>
    </a:solidFill>
    <a:ln w="9525" cap="flat" cmpd="sng" algn="ctr">
      <a:noFill/>
      <a:prstDash val="solid"/>
      <a:round/>
    </a:ln>
    <a:effectLst/>
  </c:spPr>
  <c:txPr>
    <a:bodyPr/>
    <a:lstStyle/>
    <a:p>
      <a:pPr>
        <a:defRPr lang="zh-CN"/>
      </a:pPr>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2971661314701"/>
          <c:y val="0.060937286092183"/>
          <c:w val="0.466666400978"/>
          <c:h val="0.825657840004307"/>
        </c:manualLayout>
      </c:layout>
      <c:barChart>
        <c:barDir val="bar"/>
        <c:grouping val="clustered"/>
        <c:varyColors val="0"/>
        <c:ser>
          <c:idx val="0"/>
          <c:order val="0"/>
          <c:tx>
            <c:strRef>
              <c:f>Sheet1!$B$1</c:f>
              <c:strCache>
                <c:ptCount val="1"/>
                <c:pt idx="0">
                  <c:v>我工作的平均月收入（税前），大致____元/月（月收入包括工资、能折算为现金的福利等）</c:v>
                </c:pt>
              </c:strCache>
            </c:strRef>
          </c:tx>
          <c:spPr>
            <a:solidFill>
              <a:srgbClr val="0F6FC6"/>
            </a:solidFill>
            <a:ln>
              <a:noFill/>
            </a:ln>
            <a:effectLst/>
          </c:spPr>
          <c:invertIfNegative val="0"/>
          <c:dPt>
            <c:idx val="0"/>
            <c:invertIfNegative val="0"/>
            <c:bubble3D val="0"/>
            <c:spPr>
              <a:solidFill>
                <a:srgbClr val="0F6FC6"/>
              </a:solidFill>
              <a:ln>
                <a:noFill/>
              </a:ln>
              <a:effectLst/>
            </c:spPr>
          </c:dPt>
          <c:dPt>
            <c:idx val="1"/>
            <c:invertIfNegative val="0"/>
            <c:bubble3D val="0"/>
            <c:spPr>
              <a:solidFill>
                <a:srgbClr val="0F6FC6"/>
              </a:solidFill>
              <a:ln>
                <a:noFill/>
              </a:ln>
              <a:effectLst/>
            </c:spPr>
          </c:dPt>
          <c:dPt>
            <c:idx val="2"/>
            <c:invertIfNegative val="0"/>
            <c:bubble3D val="0"/>
            <c:spPr>
              <a:solidFill>
                <a:srgbClr val="0F6FC6"/>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ysClr val="windowText" lastClr="000000">
                          <a:shade val="95000"/>
                          <a:satMod val="105000"/>
                        </a:sysClr>
                      </a:solidFill>
                      <a:prstDash val="solid"/>
                      <a:round/>
                    </a:ln>
                    <a:effectLst/>
                  </c:spPr>
                </c15:leaderLines>
              </c:ext>
            </c:extLst>
          </c:dLbls>
          <c:cat>
            <c:strRef>
              <c:f>Sheet1!$A$2:$A$8</c:f>
              <c:strCache>
                <c:ptCount val="7"/>
                <c:pt idx="0">
                  <c:v>城镇社区</c:v>
                </c:pt>
                <c:pt idx="1">
                  <c:v>医疗卫生单位</c:v>
                </c:pt>
                <c:pt idx="2">
                  <c:v>其他事业单位</c:v>
                </c:pt>
                <c:pt idx="3">
                  <c:v>其他</c:v>
                </c:pt>
                <c:pt idx="4">
                  <c:v>民营企业/个体</c:v>
                </c:pt>
                <c:pt idx="5">
                  <c:v>党政机关</c:v>
                </c:pt>
                <c:pt idx="6">
                  <c:v>国有企业</c:v>
                </c:pt>
              </c:strCache>
            </c:strRef>
          </c:cat>
          <c:val>
            <c:numRef>
              <c:f>Sheet1!$B$2:$B$8</c:f>
              <c:numCache>
                <c:formatCode>0.00_);[Red]\(0.00\)</c:formatCode>
                <c:ptCount val="7"/>
                <c:pt idx="0">
                  <c:v>3694</c:v>
                </c:pt>
                <c:pt idx="1">
                  <c:v>4045</c:v>
                </c:pt>
                <c:pt idx="2">
                  <c:v>4433</c:v>
                </c:pt>
                <c:pt idx="3">
                  <c:v>4519</c:v>
                </c:pt>
                <c:pt idx="4">
                  <c:v>4644</c:v>
                </c:pt>
                <c:pt idx="5">
                  <c:v>5150</c:v>
                </c:pt>
                <c:pt idx="6">
                  <c:v>5307</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972182824"/>
        <c:crosses val="autoZero"/>
        <c:auto val="1"/>
        <c:lblAlgn val="ctr"/>
        <c:lblOffset val="100"/>
        <c:noMultiLvlLbl val="0"/>
      </c:catAx>
      <c:valAx>
        <c:axId val="972182824"/>
        <c:scaling>
          <c:orientation val="minMax"/>
          <c:max val="8000"/>
          <c:min val="0"/>
        </c:scaling>
        <c:delete val="0"/>
        <c:axPos val="b"/>
        <c:numFmt formatCode="0.00_);[Red]\(0.00\)" sourceLinked="1"/>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972182432"/>
        <c:crosses val="autoZero"/>
        <c:crossBetween val="between"/>
        <c:majorUnit val="2000"/>
      </c:valAx>
      <c:spPr>
        <a:solidFill>
          <a:sysClr val="window" lastClr="FFFFFF"/>
        </a:solidFill>
        <a:ln>
          <a:noFill/>
        </a:ln>
        <a:effectLst/>
      </c:spPr>
    </c:plotArea>
    <c:plotVisOnly val="1"/>
    <c:dispBlanksAs val="gap"/>
    <c:showDLblsOverMax val="0"/>
  </c:chart>
  <c:spPr>
    <a:solidFill>
      <a:sysClr val="window" lastClr="FFFFFF"/>
    </a:solidFill>
    <a:ln w="9525" cap="flat" cmpd="sng" algn="ctr">
      <a:noFill/>
      <a:prstDash val="solid"/>
      <a:round/>
    </a:ln>
    <a:effectLst/>
  </c:spPr>
  <c:txPr>
    <a:bodyPr/>
    <a:lstStyle/>
    <a:p>
      <a:pPr>
        <a:defRPr lang="zh-CN"/>
      </a:pPr>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1376064705818"/>
          <c:y val="0.0497202361763108"/>
          <c:w val="0.610915420337737"/>
          <c:h val="0.825657840004307"/>
        </c:manualLayout>
      </c:layout>
      <c:barChart>
        <c:barDir val="bar"/>
        <c:grouping val="clustered"/>
        <c:varyColors val="0"/>
        <c:ser>
          <c:idx val="0"/>
          <c:order val="0"/>
          <c:tx>
            <c:strRef>
              <c:f>Sheet1!$B$1</c:f>
              <c:strCache>
                <c:ptCount val="1"/>
                <c:pt idx="0">
                  <c:v>工作总体</c:v>
                </c:pt>
              </c:strCache>
            </c:strRef>
          </c:tx>
          <c:spPr>
            <a:solidFill>
              <a:srgbClr val="0F6FC6"/>
            </a:solidFill>
            <a:ln>
              <a:noFill/>
            </a:ln>
            <a:effectLst/>
          </c:spPr>
          <c:invertIfNegative val="0"/>
          <c:dPt>
            <c:idx val="0"/>
            <c:invertIfNegative val="0"/>
            <c:bubble3D val="0"/>
            <c:spPr>
              <a:solidFill>
                <a:srgbClr val="0F6FC6"/>
              </a:solidFill>
              <a:ln>
                <a:noFill/>
              </a:ln>
              <a:effectLst/>
            </c:spPr>
          </c:dPt>
          <c:dPt>
            <c:idx val="1"/>
            <c:invertIfNegative val="0"/>
            <c:bubble3D val="0"/>
            <c:spPr>
              <a:solidFill>
                <a:srgbClr val="0F6FC6"/>
              </a:solidFill>
              <a:ln>
                <a:noFill/>
              </a:ln>
              <a:effectLst/>
            </c:spPr>
          </c:dPt>
          <c:dPt>
            <c:idx val="2"/>
            <c:invertIfNegative val="0"/>
            <c:bubble3D val="0"/>
            <c:spPr>
              <a:solidFill>
                <a:srgbClr val="0F6FC6"/>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ysClr val="windowText" lastClr="000000">
                          <a:shade val="95000"/>
                          <a:satMod val="105000"/>
                        </a:sysClr>
                      </a:solidFill>
                      <a:prstDash val="solid"/>
                      <a:round/>
                    </a:ln>
                    <a:effectLst/>
                  </c:spPr>
                </c15:leaderLines>
              </c:ext>
            </c:extLst>
          </c:dLbls>
          <c:cat>
            <c:strRef>
              <c:f>Sheet1!$A$2:$A$8</c:f>
              <c:strCache>
                <c:ptCount val="7"/>
                <c:pt idx="0">
                  <c:v>民营企业/个体</c:v>
                </c:pt>
                <c:pt idx="1">
                  <c:v>其他</c:v>
                </c:pt>
                <c:pt idx="2">
                  <c:v>国有企业</c:v>
                </c:pt>
                <c:pt idx="3">
                  <c:v>医疗卫生单位</c:v>
                </c:pt>
                <c:pt idx="4">
                  <c:v>城镇社区</c:v>
                </c:pt>
                <c:pt idx="5">
                  <c:v>其他事业单位</c:v>
                </c:pt>
                <c:pt idx="6">
                  <c:v>党政机关</c:v>
                </c:pt>
              </c:strCache>
            </c:strRef>
          </c:cat>
          <c:val>
            <c:numRef>
              <c:f>Sheet1!$B$2:$B$8</c:f>
              <c:numCache>
                <c:formatCode>0.00%</c:formatCode>
                <c:ptCount val="7"/>
                <c:pt idx="0">
                  <c:v>0.8993</c:v>
                </c:pt>
                <c:pt idx="1">
                  <c:v>0.9101</c:v>
                </c:pt>
                <c:pt idx="2">
                  <c:v>0.9444</c:v>
                </c:pt>
                <c:pt idx="3">
                  <c:v>0.9565</c:v>
                </c:pt>
                <c:pt idx="4">
                  <c:v>1</c:v>
                </c:pt>
                <c:pt idx="5">
                  <c:v>1</c:v>
                </c:pt>
                <c:pt idx="6">
                  <c:v>1</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972182824"/>
        <c:crosses val="autoZero"/>
        <c:auto val="1"/>
        <c:lblAlgn val="ctr"/>
        <c:lblOffset val="100"/>
        <c:noMultiLvlLbl val="0"/>
      </c:catAx>
      <c:valAx>
        <c:axId val="972182824"/>
        <c:scaling>
          <c:orientation val="minMax"/>
          <c:max val="1"/>
          <c:min val="0"/>
        </c:scaling>
        <c:delete val="0"/>
        <c:axPos val="b"/>
        <c:numFmt formatCode="0.00%" sourceLinked="1"/>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972182432"/>
        <c:crosses val="autoZero"/>
        <c:crossBetween val="between"/>
        <c:majorUnit val="0.2"/>
      </c:valAx>
      <c:spPr>
        <a:solidFill>
          <a:sysClr val="window" lastClr="FFFFFF"/>
        </a:solidFill>
        <a:ln>
          <a:noFill/>
        </a:ln>
        <a:effectLst/>
      </c:spPr>
    </c:plotArea>
    <c:plotVisOnly val="1"/>
    <c:dispBlanksAs val="gap"/>
    <c:showDLblsOverMax val="0"/>
  </c:chart>
  <c:spPr>
    <a:solidFill>
      <a:sysClr val="window" lastClr="FFFFFF"/>
    </a:solidFill>
    <a:ln w="9525" cap="flat" cmpd="sng" algn="ctr">
      <a:noFill/>
      <a:prstDash val="solid"/>
      <a:round/>
    </a:ln>
    <a:effectLst/>
  </c:spPr>
  <c:txPr>
    <a:bodyPr/>
    <a:lstStyle/>
    <a:p>
      <a:pPr>
        <a:defRPr lang="zh-CN"/>
      </a:pPr>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0195500363163"/>
          <c:y val="0.0497202361763108"/>
          <c:w val="0.502095984680392"/>
          <c:h val="0.825657840004307"/>
        </c:manualLayout>
      </c:layout>
      <c:barChart>
        <c:barDir val="bar"/>
        <c:grouping val="clustered"/>
        <c:varyColors val="0"/>
        <c:ser>
          <c:idx val="0"/>
          <c:order val="0"/>
          <c:tx>
            <c:strRef>
              <c:f>Sheet1!$B$1</c:f>
              <c:strCache>
                <c:ptCount val="1"/>
                <c:pt idx="0">
                  <c:v>正式参加工作以来（实习不计），我离职的次数</c:v>
                </c:pt>
              </c:strCache>
            </c:strRef>
          </c:tx>
          <c:spPr>
            <a:solidFill>
              <a:srgbClr val="0F6FC6"/>
            </a:solidFill>
            <a:ln>
              <a:noFill/>
            </a:ln>
            <a:effectLst/>
          </c:spPr>
          <c:invertIfNegative val="0"/>
          <c:dPt>
            <c:idx val="0"/>
            <c:invertIfNegative val="0"/>
            <c:bubble3D val="0"/>
            <c:spPr>
              <a:solidFill>
                <a:srgbClr val="0F6FC6"/>
              </a:solidFill>
              <a:ln>
                <a:noFill/>
              </a:ln>
              <a:effectLst/>
            </c:spPr>
          </c:dPt>
          <c:dPt>
            <c:idx val="1"/>
            <c:invertIfNegative val="0"/>
            <c:bubble3D val="0"/>
            <c:spPr>
              <a:solidFill>
                <a:srgbClr val="0F6FC6"/>
              </a:solidFill>
              <a:ln>
                <a:noFill/>
              </a:ln>
              <a:effectLst/>
            </c:spPr>
          </c:dPt>
          <c:dPt>
            <c:idx val="2"/>
            <c:invertIfNegative val="0"/>
            <c:bubble3D val="0"/>
            <c:spPr>
              <a:solidFill>
                <a:srgbClr val="0F6FC6"/>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ysClr val="windowText" lastClr="000000">
                          <a:shade val="95000"/>
                          <a:satMod val="105000"/>
                        </a:sysClr>
                      </a:solidFill>
                      <a:prstDash val="solid"/>
                      <a:round/>
                    </a:ln>
                    <a:effectLst/>
                  </c:spPr>
                </c15:leaderLines>
              </c:ext>
            </c:extLst>
          </c:dLbls>
          <c:cat>
            <c:strRef>
              <c:f>Sheet1!$A$2:$A$8</c:f>
              <c:strCache>
                <c:ptCount val="7"/>
                <c:pt idx="0">
                  <c:v>国有企业</c:v>
                </c:pt>
                <c:pt idx="1">
                  <c:v>其他事业单位</c:v>
                </c:pt>
                <c:pt idx="2">
                  <c:v>城镇社区</c:v>
                </c:pt>
                <c:pt idx="3">
                  <c:v>医疗卫生单位</c:v>
                </c:pt>
                <c:pt idx="4">
                  <c:v>党政机关</c:v>
                </c:pt>
                <c:pt idx="5">
                  <c:v>民营企业/个体</c:v>
                </c:pt>
                <c:pt idx="6">
                  <c:v>其他</c:v>
                </c:pt>
              </c:strCache>
            </c:strRef>
          </c:cat>
          <c:val>
            <c:numRef>
              <c:f>Sheet1!$B$2:$B$8</c:f>
              <c:numCache>
                <c:formatCode>0.00%</c:formatCode>
                <c:ptCount val="7"/>
                <c:pt idx="0">
                  <c:v>0.3276</c:v>
                </c:pt>
                <c:pt idx="1">
                  <c:v>0.38</c:v>
                </c:pt>
                <c:pt idx="2">
                  <c:v>0.3889</c:v>
                </c:pt>
                <c:pt idx="3">
                  <c:v>0.4215</c:v>
                </c:pt>
                <c:pt idx="4">
                  <c:v>0.4286</c:v>
                </c:pt>
                <c:pt idx="5">
                  <c:v>0.4777</c:v>
                </c:pt>
                <c:pt idx="6">
                  <c:v>0.4792</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972182824"/>
        <c:crosses val="autoZero"/>
        <c:auto val="1"/>
        <c:lblAlgn val="ctr"/>
        <c:lblOffset val="100"/>
        <c:noMultiLvlLbl val="0"/>
      </c:catAx>
      <c:valAx>
        <c:axId val="972182824"/>
        <c:scaling>
          <c:orientation val="minMax"/>
          <c:max val="0.5"/>
          <c:min val="0"/>
        </c:scaling>
        <c:delete val="0"/>
        <c:axPos val="b"/>
        <c:numFmt formatCode="0.00%" sourceLinked="1"/>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972182432"/>
        <c:crosses val="autoZero"/>
        <c:crossBetween val="between"/>
        <c:majorUnit val="0.1"/>
      </c:valAx>
      <c:spPr>
        <a:solidFill>
          <a:sysClr val="window" lastClr="FFFFFF"/>
        </a:solidFill>
        <a:ln>
          <a:noFill/>
        </a:ln>
        <a:effectLst/>
      </c:spPr>
    </c:plotArea>
    <c:plotVisOnly val="1"/>
    <c:dispBlanksAs val="gap"/>
    <c:showDLblsOverMax val="0"/>
  </c:chart>
  <c:spPr>
    <a:solidFill>
      <a:sysClr val="window" lastClr="FFFFFF"/>
    </a:solidFill>
    <a:ln w="9525" cap="flat" cmpd="sng" algn="ctr">
      <a:noFill/>
      <a:prstDash val="solid"/>
      <a:round/>
    </a:ln>
    <a:effectLst/>
  </c:spPr>
  <c:txPr>
    <a:bodyPr/>
    <a:lstStyle/>
    <a:p>
      <a:pPr>
        <a:defRPr lang="zh-CN"/>
      </a:pPr>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6948099809442"/>
          <c:y val="0.153673415823022"/>
          <c:w val="0.49959618703484"/>
          <c:h val="0.846326693489333"/>
        </c:manualLayout>
      </c:layout>
      <c:pieChart>
        <c:varyColors val="1"/>
        <c:ser>
          <c:idx val="0"/>
          <c:order val="0"/>
          <c:tx>
            <c:strRef>
              <c:f>Sheet1!$B$1</c:f>
              <c:strCache>
                <c:ptCount val="1"/>
                <c:pt idx="0">
                  <c:v>占比</c:v>
                </c:pt>
              </c:strCache>
            </c:strRef>
          </c:tx>
          <c:explosion val="0"/>
          <c:dPt>
            <c:idx val="0"/>
            <c:bubble3D val="0"/>
            <c:spPr>
              <a:solidFill>
                <a:srgbClr val="0F6FC6"/>
              </a:solidFill>
              <a:ln>
                <a:solidFill>
                  <a:sysClr val="window" lastClr="FFFFFF"/>
                </a:solidFill>
              </a:ln>
              <a:effectLst/>
            </c:spPr>
          </c:dPt>
          <c:dPt>
            <c:idx val="1"/>
            <c:bubble3D val="0"/>
            <c:spPr>
              <a:solidFill>
                <a:srgbClr val="009DD9"/>
              </a:solidFill>
              <a:ln>
                <a:solidFill>
                  <a:sysClr val="window" lastClr="FFFFFF"/>
                </a:solidFill>
              </a:ln>
              <a:effectLst/>
            </c:spPr>
          </c:dPt>
          <c:dPt>
            <c:idx val="2"/>
            <c:bubble3D val="0"/>
            <c:spPr>
              <a:solidFill>
                <a:srgbClr val="4F81BD">
                  <a:lumMod val="75000"/>
                </a:srgbClr>
              </a:solidFill>
              <a:ln>
                <a:solidFill>
                  <a:sysClr val="window" lastClr="FFFFFF"/>
                </a:solidFill>
              </a:ln>
              <a:effectLst/>
            </c:spPr>
          </c:dPt>
          <c:dPt>
            <c:idx val="3"/>
            <c:bubble3D val="0"/>
            <c:spPr>
              <a:solidFill>
                <a:srgbClr val="1F497D">
                  <a:lumMod val="60000"/>
                  <a:lumOff val="40000"/>
                </a:srgbClr>
              </a:solidFill>
              <a:ln>
                <a:solidFill>
                  <a:sysClr val="window" lastClr="FFFFFF"/>
                </a:solidFill>
              </a:ln>
              <a:effectLst/>
            </c:spPr>
          </c:dPt>
          <c:dPt>
            <c:idx val="4"/>
            <c:bubble3D val="0"/>
            <c:spPr>
              <a:solidFill>
                <a:srgbClr val="4F81BD">
                  <a:lumMod val="60000"/>
                  <a:lumOff val="40000"/>
                </a:srgbClr>
              </a:solidFill>
              <a:ln>
                <a:solidFill>
                  <a:sysClr val="window" lastClr="FFFFFF"/>
                </a:solidFill>
              </a:ln>
              <a:effectLst/>
            </c:spPr>
          </c:dPt>
          <c:dPt>
            <c:idx val="5"/>
            <c:bubble3D val="0"/>
            <c:spPr>
              <a:solidFill>
                <a:srgbClr val="4F81BD">
                  <a:lumMod val="20000"/>
                  <a:lumOff val="80000"/>
                </a:srgbClr>
              </a:solidFill>
              <a:ln>
                <a:solidFill>
                  <a:sysClr val="window" lastClr="FFFFFF"/>
                </a:solidFill>
              </a:ln>
              <a:effectLst/>
            </c:spPr>
          </c:dPt>
          <c:dLbls>
            <c:dLbl>
              <c:idx val="0"/>
              <c:layout>
                <c:manualLayout>
                  <c:x val="-0.153594766835652"/>
                  <c:y val="-0.00420153201852903"/>
                </c:manualLayout>
              </c:layout>
              <c:tx>
                <c:rich>
                  <a:bodyPr rot="0" spcFirstLastPara="1" vertOverflow="ellipsis" vert="horz" wrap="square" lIns="38100" tIns="19050" rIns="38100" bIns="19050" anchor="ctr" anchorCtr="1">
                    <a:noAutofit/>
                  </a:bodyPr>
                  <a:lstStyle/>
                  <a:p>
                    <a:fld id="{18216741-e99c-44e3-a0ca-bec7ca03d01e}" type="CATEGORYNAME">
                      <a:t>[CATEGORY NAME]</a:t>
                    </a:fld>
                    <a:r>
                      <a:t>,</a:t>
                    </a:r>
                    <a:fld id="{ff88bee5-e2b4-4ffc-827c-f1160d4e1e65}" type="VALUE">
                      <a:t>[VALUE]</a:t>
                    </a:fld>
                    <a:endParaRPr lang="en-US" altLang="zh-CN" b="0" i="0" u="none" strike="noStrike" baseline="0">
                      <a:latin typeface="Times New Roman" panose="02020603050405020304" charset="0"/>
                      <a:ea typeface="Times New Roman" panose="02020603050405020304" charset="0"/>
                      <a:cs typeface="+mn-ea"/>
                    </a:endParaRPr>
                  </a:p>
                </c:rich>
              </c:tx>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1000" b="0" i="0" u="none" strike="noStrike" kern="1200" baseline="0">
                      <a:solidFill>
                        <a:schemeClr val="tx1"/>
                      </a:solidFill>
                      <a:latin typeface="+mn-lt"/>
                      <a:ea typeface="+mn-ea"/>
                      <a:cs typeface="+mn-cs"/>
                    </a:defRPr>
                  </a:pPr>
                </a:p>
              </c:txPr>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0275206404803603"/>
                  <c:y val="-0.00796971508268579"/>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00250187640730548"/>
                  <c:y val="0.0518031480374576"/>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0275207487618734"/>
                  <c:y val="0.0736761335483895"/>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1000" b="0" i="0" u="none" strike="noStrike" kern="1200" baseline="0">
                      <a:solidFill>
                        <a:sysClr val="windowText" lastClr="000000"/>
                      </a:solidFill>
                      <a:latin typeface="+mn-lt"/>
                      <a:ea typeface="+mn-ea"/>
                      <a:cs typeface="+mn-cs"/>
                    </a:defRPr>
                  </a:pPr>
                </a:p>
              </c:txPr>
              <c:dLblPos val="bestFit"/>
              <c:showLegendKey val="0"/>
              <c:showVal val="1"/>
              <c:showCatName val="1"/>
              <c:showSerName val="0"/>
              <c:showPercent val="0"/>
              <c:showBubbleSize val="0"/>
              <c:extLst>
                <c:ext xmlns:c15="http://schemas.microsoft.com/office/drawing/2012/chart" uri="{CE6537A1-D6FC-4f65-9D91-7224C49458BB}">
                  <c15:layout>
                    <c:manualLayout>
                      <c:w val="0.268226189192104"/>
                      <c:h val="0.199155415134237"/>
                    </c:manualLayout>
                  </c15:layout>
                </c:ext>
              </c:extLst>
            </c:dLbl>
            <c:dLbl>
              <c:idx val="4"/>
              <c:layout>
                <c:manualLayout>
                  <c:x val="0.154109589041096"/>
                  <c:y val="-1.91568668208451e-16"/>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1000" b="0" i="0" u="none" strike="noStrike" kern="1200" baseline="0">
                      <a:solidFill>
                        <a:sysClr val="windowText" lastClr="000000"/>
                      </a:solidFill>
                      <a:latin typeface="+mn-lt"/>
                      <a:ea typeface="+mn-ea"/>
                      <a:cs typeface="+mn-cs"/>
                    </a:defRPr>
                  </a:pPr>
                </a:p>
              </c:txPr>
              <c:dLblPos val="bestFit"/>
              <c:showLegendKey val="0"/>
              <c:showVal val="1"/>
              <c:showCatName val="1"/>
              <c:showSerName val="0"/>
              <c:showPercent val="0"/>
              <c:showBubbleSize val="0"/>
              <c:extLst>
                <c:ext xmlns:c15="http://schemas.microsoft.com/office/drawing/2012/chart" uri="{CE6537A1-D6FC-4f65-9D91-7224C49458BB}">
                  <c15:layout/>
                </c:ext>
              </c:extLst>
            </c:dLbl>
            <c:dLbl>
              <c:idx val="5"/>
              <c:layout>
                <c:manualLayout>
                  <c:x val="0.0125093820365274"/>
                  <c:y val="0"/>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1"/>
            <c:showSerName val="0"/>
            <c:showPercent val="0"/>
            <c:showBubbleSize val="0"/>
            <c:showLeaderLines val="0"/>
            <c:extLst>
              <c:ext xmlns:c15="http://schemas.microsoft.com/office/drawing/2012/chart" uri="{CE6537A1-D6FC-4f65-9D91-7224C49458BB}">
                <c15:layout/>
                <c15:showLeaderLines val="0"/>
                <c15:leaderLines/>
              </c:ext>
            </c:extLst>
          </c:dLbls>
          <c:cat>
            <c:strRef>
              <c:f>Sheet1!$A$2:$A$7</c:f>
              <c:strCache>
                <c:ptCount val="6"/>
                <c:pt idx="0">
                  <c:v>世界及中国500强</c:v>
                </c:pt>
                <c:pt idx="1">
                  <c:v>仅为世界500强</c:v>
                </c:pt>
                <c:pt idx="2">
                  <c:v>仅为中国500强</c:v>
                </c:pt>
                <c:pt idx="3">
                  <c:v>非500强大型企业</c:v>
                </c:pt>
                <c:pt idx="4">
                  <c:v>中型企业</c:v>
                </c:pt>
                <c:pt idx="5">
                  <c:v>小微企业</c:v>
                </c:pt>
              </c:strCache>
            </c:strRef>
          </c:cat>
          <c:val>
            <c:numRef>
              <c:f>Sheet1!$B$2:$B$7</c:f>
              <c:numCache>
                <c:formatCode>0.00%</c:formatCode>
                <c:ptCount val="6"/>
                <c:pt idx="0">
                  <c:v>0.0938</c:v>
                </c:pt>
                <c:pt idx="1">
                  <c:v>0.0117</c:v>
                </c:pt>
                <c:pt idx="2">
                  <c:v>0.0781</c:v>
                </c:pt>
                <c:pt idx="3">
                  <c:v>0.125</c:v>
                </c:pt>
                <c:pt idx="4">
                  <c:v>0.3242</c:v>
                </c:pt>
                <c:pt idx="5">
                  <c:v>0.3672</c:v>
                </c:pt>
              </c:numCache>
            </c:numRef>
          </c:val>
        </c:ser>
        <c:dLbls>
          <c:showLegendKey val="0"/>
          <c:showVal val="0"/>
          <c:showCatName val="0"/>
          <c:showSerName val="0"/>
          <c:showPercent val="0"/>
          <c:showBubbleSize val="0"/>
          <c:showLeaderLines val="0"/>
        </c:dLbls>
        <c:firstSliceAng val="0"/>
      </c:pieChart>
      <c:spPr>
        <a:noFill/>
        <a:ln>
          <a:noFill/>
        </a:ln>
      </c:spPr>
    </c:plotArea>
    <c:plotVisOnly val="1"/>
    <c:dispBlanksAs val="zero"/>
    <c:showDLblsOverMax val="0"/>
  </c:chart>
  <c:spPr>
    <a:solidFill>
      <a:sysClr val="window" lastClr="FFFFFF"/>
    </a:solidFill>
    <a:ln w="9525" cap="flat" cmpd="sng" algn="ctr">
      <a:noFill/>
      <a:prstDash val="solid"/>
      <a:round/>
    </a:ln>
  </c:spPr>
  <c:txPr>
    <a:bodyPr/>
    <a:lstStyle/>
    <a:p>
      <a:pPr>
        <a:defRPr lang="zh-CN"/>
      </a:pPr>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323537083637741"/>
          <c:y val="0.108865109809992"/>
          <c:w val="0.89357209730227"/>
          <c:h val="0.577444870673217"/>
        </c:manualLayout>
      </c:layout>
      <c:barChart>
        <c:barDir val="col"/>
        <c:grouping val="clustered"/>
        <c:varyColors val="0"/>
        <c:ser>
          <c:idx val="0"/>
          <c:order val="0"/>
          <c:tx>
            <c:strRef>
              <c:f>Sheet1!$B$1</c:f>
              <c:strCache>
                <c:ptCount val="1"/>
                <c:pt idx="0">
                  <c:v>本校2020届专科毕业生</c:v>
                </c:pt>
              </c:strCache>
            </c:strRef>
          </c:tx>
          <c:invertIfNegative val="1"/>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c:f>
              <c:strCache>
                <c:ptCount val="1"/>
                <c:pt idx="0">
                  <c:v>国内求学</c:v>
                </c:pt>
              </c:strCache>
            </c:strRef>
          </c:cat>
          <c:val>
            <c:numRef>
              <c:f>Sheet1!$B$2</c:f>
              <c:numCache>
                <c:formatCode>0.00%</c:formatCode>
                <c:ptCount val="1"/>
                <c:pt idx="0">
                  <c:v>0.1108</c:v>
                </c:pt>
              </c:numCache>
            </c:numRef>
          </c:val>
        </c:ser>
        <c:ser>
          <c:idx val="1"/>
          <c:order val="1"/>
          <c:tx>
            <c:strRef>
              <c:f>Sheet1!$C$1</c:f>
              <c:strCache>
                <c:ptCount val="1"/>
                <c:pt idx="0">
                  <c:v>本校2021届专科毕业生</c:v>
                </c:pt>
              </c:strCache>
            </c:strRef>
          </c:tx>
          <c:invertIfNegative val="1"/>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c:f>
              <c:strCache>
                <c:ptCount val="1"/>
                <c:pt idx="0">
                  <c:v>国内求学</c:v>
                </c:pt>
              </c:strCache>
            </c:strRef>
          </c:cat>
          <c:val>
            <c:numRef>
              <c:f>Sheet1!$C$2</c:f>
              <c:numCache>
                <c:formatCode>0.00%</c:formatCode>
                <c:ptCount val="1"/>
                <c:pt idx="0">
                  <c:v>0.2326</c:v>
                </c:pt>
              </c:numCache>
            </c:numRef>
          </c:val>
        </c:ser>
        <c:ser>
          <c:idx val="2"/>
          <c:order val="2"/>
          <c:tx>
            <c:strRef>
              <c:f>Sheet1!$D$1</c:f>
              <c:strCache>
                <c:ptCount val="1"/>
                <c:pt idx="0">
                  <c:v>本校2022届专科毕业生</c:v>
                </c:pt>
              </c:strCache>
            </c:strRef>
          </c:tx>
          <c:spPr>
            <a:solidFill>
              <a:srgbClr val="1F497D">
                <a:lumMod val="60000"/>
                <a:lumOff val="40000"/>
              </a:srgb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c:f>
              <c:strCache>
                <c:ptCount val="1"/>
                <c:pt idx="0">
                  <c:v>国内求学</c:v>
                </c:pt>
              </c:strCache>
            </c:strRef>
          </c:cat>
          <c:val>
            <c:numRef>
              <c:f>Sheet1!$D$2</c:f>
              <c:numCache>
                <c:formatCode>0.00%</c:formatCode>
                <c:ptCount val="1"/>
                <c:pt idx="0">
                  <c:v>0.3049</c:v>
                </c:pt>
              </c:numCache>
            </c:numRef>
          </c:val>
        </c:ser>
        <c:ser>
          <c:idx val="3"/>
          <c:order val="3"/>
          <c:tx>
            <c:strRef>
              <c:f>Sheet1!$E$1</c:f>
              <c:strCache>
                <c:ptCount val="1"/>
                <c:pt idx="0">
                  <c:v>全国高校2022届专科毕业生</c:v>
                </c:pt>
              </c:strCache>
            </c:strRef>
          </c:tx>
          <c:spPr>
            <a:solidFill>
              <a:srgbClr val="4F81BD">
                <a:lumMod val="20000"/>
                <a:lumOff val="80000"/>
              </a:srgb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c:f>
              <c:strCache>
                <c:ptCount val="1"/>
                <c:pt idx="0">
                  <c:v>国内求学</c:v>
                </c:pt>
              </c:strCache>
            </c:strRef>
          </c:cat>
          <c:val>
            <c:numRef>
              <c:f>Sheet1!$E$2</c:f>
              <c:numCache>
                <c:formatCode>0.00%</c:formatCode>
                <c:ptCount val="1"/>
                <c:pt idx="0">
                  <c:v>0.2424</c:v>
                </c:pt>
              </c:numCache>
            </c:numRef>
          </c:val>
        </c:ser>
        <c:dLbls>
          <c:showLegendKey val="0"/>
          <c:showVal val="1"/>
          <c:showCatName val="0"/>
          <c:showSerName val="0"/>
          <c:showPercent val="0"/>
          <c:showBubbleSize val="0"/>
        </c:dLbls>
        <c:gapWidth val="269"/>
        <c:overlap val="-15"/>
        <c:axId val="608998768"/>
        <c:axId val="608999160"/>
      </c:barChart>
      <c:catAx>
        <c:axId val="608998768"/>
        <c:scaling>
          <c:orientation val="minMax"/>
        </c:scaling>
        <c:delete val="0"/>
        <c:axPos val="b"/>
        <c:numFmt formatCode="General" sourceLinked="1"/>
        <c:majorTickMark val="none"/>
        <c:minorTickMark val="none"/>
        <c:tickLblPos val="nextTo"/>
        <c:spPr>
          <a:noFill/>
          <a:ln w="12700" cap="flat" cmpd="sng" algn="ctr">
            <a:solidFill>
              <a:sysClr val="window" lastClr="FFFFFF">
                <a:lumMod val="50000"/>
              </a:sysClr>
            </a:solidFill>
            <a:prstDash val="solid"/>
            <a:round/>
          </a:ln>
        </c:spPr>
        <c:txPr>
          <a:bodyPr rot="0" spcFirstLastPara="1" vertOverflow="ellipsis" vert="horz" wrap="square" anchor="ctr" anchorCtr="1"/>
          <a:lstStyle/>
          <a:p>
            <a:pPr>
              <a:defRPr lang="zh-CN" sz="900" b="0" i="0" u="none" strike="noStrike" kern="1200" baseline="0">
                <a:solidFill>
                  <a:sysClr val="window" lastClr="FFFFFF"/>
                </a:solidFill>
                <a:latin typeface="+mn-lt"/>
                <a:ea typeface="+mn-ea"/>
                <a:cs typeface="+mn-cs"/>
              </a:defRPr>
            </a:pPr>
          </a:p>
        </c:txPr>
        <c:crossAx val="608999160"/>
        <c:crosses val="autoZero"/>
        <c:auto val="1"/>
        <c:lblAlgn val="ctr"/>
        <c:lblOffset val="100"/>
        <c:noMultiLvlLbl val="0"/>
      </c:catAx>
      <c:valAx>
        <c:axId val="608999160"/>
        <c:scaling>
          <c:orientation val="minMax"/>
          <c:min val="0"/>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608998768"/>
        <c:crosses val="autoZero"/>
        <c:crossBetween val="between"/>
      </c:valAx>
      <c:spPr>
        <a:noFill/>
        <a:ln>
          <a:noFill/>
        </a:ln>
      </c:spPr>
    </c:plotArea>
    <c:legend>
      <c:legendPos val="b"/>
      <c:layout>
        <c:manualLayout>
          <c:xMode val="edge"/>
          <c:yMode val="edge"/>
          <c:x val="0.10129112211489"/>
          <c:y val="0.734289431769747"/>
          <c:w val="0.839383286044468"/>
          <c:h val="0.226717593136679"/>
        </c:manualLayout>
      </c:layout>
      <c:overlay val="0"/>
      <c:spPr>
        <a:noFill/>
        <a:ln>
          <a:noFill/>
        </a:ln>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gap"/>
    <c:showDLblsOverMax val="0"/>
  </c:chart>
  <c:spPr>
    <a:solidFill>
      <a:sysClr val="window" lastClr="FFFFFF"/>
    </a:solidFill>
    <a:ln w="9525" cap="flat" cmpd="sng" algn="ctr">
      <a:noFill/>
      <a:prstDash val="solid"/>
      <a:round/>
    </a:ln>
  </c:spPr>
  <c:txPr>
    <a:bodyPr/>
    <a:lstStyle/>
    <a:p>
      <a:pPr>
        <a:defRPr lang="zh-CN">
          <a:solidFill>
            <a:sysClr val="windowText" lastClr="000000"/>
          </a:solidFill>
        </a:defRPr>
      </a:pPr>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3217137716067"/>
          <c:y val="0.0497202361763108"/>
          <c:w val="0.459074347327488"/>
          <c:h val="0.825657840004307"/>
        </c:manualLayout>
      </c:layout>
      <c:barChart>
        <c:barDir val="bar"/>
        <c:grouping val="clustered"/>
        <c:varyColors val="0"/>
        <c:ser>
          <c:idx val="0"/>
          <c:order val="0"/>
          <c:tx>
            <c:strRef>
              <c:f>Sheet1!$B$1</c:f>
              <c:strCache>
                <c:ptCount val="1"/>
                <c:pt idx="0">
                  <c:v>占比</c:v>
                </c:pt>
              </c:strCache>
            </c:strRef>
          </c:tx>
          <c:spPr>
            <a:solidFill>
              <a:srgbClr val="0F6FC6"/>
            </a:solidFill>
            <a:ln>
              <a:noFill/>
            </a:ln>
            <a:effectLst/>
          </c:spPr>
          <c:invertIfNegative val="0"/>
          <c:dPt>
            <c:idx val="0"/>
            <c:invertIfNegative val="0"/>
            <c:bubble3D val="0"/>
            <c:spPr>
              <a:solidFill>
                <a:srgbClr val="0F6FC6"/>
              </a:solidFill>
              <a:ln>
                <a:noFill/>
              </a:ln>
              <a:effectLst/>
            </c:spPr>
          </c:dPt>
          <c:dPt>
            <c:idx val="1"/>
            <c:invertIfNegative val="0"/>
            <c:bubble3D val="0"/>
            <c:spPr>
              <a:solidFill>
                <a:srgbClr val="0F6FC6"/>
              </a:solidFill>
              <a:ln>
                <a:noFill/>
              </a:ln>
              <a:effectLst/>
            </c:spPr>
          </c:dPt>
          <c:dPt>
            <c:idx val="2"/>
            <c:invertIfNegative val="0"/>
            <c:bubble3D val="0"/>
            <c:spPr>
              <a:solidFill>
                <a:srgbClr val="0F6FC6"/>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ysClr val="windowText" lastClr="000000">
                          <a:shade val="95000"/>
                          <a:satMod val="105000"/>
                        </a:sysClr>
                      </a:solidFill>
                      <a:prstDash val="solid"/>
                      <a:round/>
                    </a:ln>
                    <a:effectLst/>
                  </c:spPr>
                </c15:leaderLines>
              </c:ext>
            </c:extLst>
          </c:dLbls>
          <c:cat>
            <c:strRef>
              <c:f>Sheet1!$A$2:$A$7</c:f>
              <c:strCache>
                <c:ptCount val="6"/>
                <c:pt idx="0">
                  <c:v>其他</c:v>
                </c:pt>
                <c:pt idx="1">
                  <c:v>受周围环境（如父母、同学）影响</c:v>
                </c:pt>
                <c:pt idx="2">
                  <c:v>缓解就业压力</c:v>
                </c:pt>
                <c:pt idx="3">
                  <c:v>对专业感兴趣，深入学习</c:v>
                </c:pt>
                <c:pt idx="4">
                  <c:v>提高综合素质/能力</c:v>
                </c:pt>
                <c:pt idx="5">
                  <c:v>增加择业资本，站在更高求职点</c:v>
                </c:pt>
              </c:strCache>
            </c:strRef>
          </c:cat>
          <c:val>
            <c:numRef>
              <c:f>Sheet1!$B$2:$B$7</c:f>
              <c:numCache>
                <c:formatCode>0.00%</c:formatCode>
                <c:ptCount val="6"/>
                <c:pt idx="0">
                  <c:v>0.0117</c:v>
                </c:pt>
                <c:pt idx="1">
                  <c:v>0.0352</c:v>
                </c:pt>
                <c:pt idx="2">
                  <c:v>0.0881</c:v>
                </c:pt>
                <c:pt idx="3">
                  <c:v>0.0939</c:v>
                </c:pt>
                <c:pt idx="4">
                  <c:v>0.274</c:v>
                </c:pt>
                <c:pt idx="5">
                  <c:v>0.4971</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972182824"/>
        <c:crosses val="autoZero"/>
        <c:auto val="1"/>
        <c:lblAlgn val="ctr"/>
        <c:lblOffset val="100"/>
        <c:noMultiLvlLbl val="0"/>
      </c:catAx>
      <c:valAx>
        <c:axId val="972182824"/>
        <c:scaling>
          <c:orientation val="minMax"/>
          <c:max val="0.5"/>
          <c:min val="0"/>
        </c:scaling>
        <c:delete val="0"/>
        <c:axPos val="b"/>
        <c:numFmt formatCode="0.00%" sourceLinked="1"/>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972182432"/>
        <c:crosses val="autoZero"/>
        <c:crossBetween val="between"/>
        <c:majorUnit val="0.1"/>
      </c:valAx>
      <c:spPr>
        <a:solidFill>
          <a:sysClr val="window" lastClr="FFFFFF"/>
        </a:solidFill>
        <a:ln>
          <a:noFill/>
        </a:ln>
        <a:effectLst/>
      </c:spPr>
    </c:plotArea>
    <c:plotVisOnly val="1"/>
    <c:dispBlanksAs val="gap"/>
    <c:showDLblsOverMax val="0"/>
  </c:chart>
  <c:spPr>
    <a:solidFill>
      <a:sysClr val="window" lastClr="FFFFFF"/>
    </a:solidFill>
    <a:ln w="9525" cap="flat" cmpd="sng" algn="ctr">
      <a:noFill/>
      <a:prstDash val="solid"/>
      <a:round/>
    </a:ln>
    <a:effectLst/>
  </c:spPr>
  <c:txPr>
    <a:bodyPr/>
    <a:lstStyle/>
    <a:p>
      <a:pPr>
        <a:defRPr lang="zh-CN"/>
      </a:pPr>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678997672461"/>
          <c:y val="0.205869105071543"/>
          <c:w val="0.503459218541079"/>
          <c:h val="0.717294047921429"/>
        </c:manualLayout>
      </c:layout>
      <c:doughnutChart>
        <c:varyColors val="1"/>
        <c:ser>
          <c:idx val="0"/>
          <c:order val="0"/>
          <c:tx>
            <c:strRef>
              <c:f>Sheet1!$B$1</c:f>
              <c:strCache>
                <c:ptCount val="1"/>
                <c:pt idx="0">
                  <c:v>占比</c:v>
                </c:pt>
              </c:strCache>
            </c:strRef>
          </c:tx>
          <c:spPr/>
          <c:explosion val="0"/>
          <c:dPt>
            <c:idx val="0"/>
            <c:bubble3D val="0"/>
            <c:spPr>
              <a:solidFill>
                <a:srgbClr val="0F6FC6"/>
              </a:solidFill>
              <a:ln w="19050">
                <a:solidFill>
                  <a:sysClr val="window" lastClr="FFFFFF"/>
                </a:solidFill>
              </a:ln>
              <a:effectLst/>
            </c:spPr>
          </c:dPt>
          <c:dPt>
            <c:idx val="1"/>
            <c:bubble3D val="0"/>
            <c:spPr>
              <a:solidFill>
                <a:srgbClr val="009DD9"/>
              </a:solidFill>
              <a:ln w="19050">
                <a:solidFill>
                  <a:sysClr val="window" lastClr="FFFFFF"/>
                </a:solidFill>
              </a:ln>
              <a:effectLst/>
            </c:spPr>
          </c:dPt>
          <c:dPt>
            <c:idx val="2"/>
            <c:bubble3D val="0"/>
            <c:spPr>
              <a:solidFill>
                <a:srgbClr val="4F81BD">
                  <a:lumMod val="40000"/>
                  <a:lumOff val="60000"/>
                </a:srgbClr>
              </a:solidFill>
              <a:ln w="19050">
                <a:solidFill>
                  <a:sysClr val="window" lastClr="FFFFFF"/>
                </a:solidFill>
              </a:ln>
              <a:effectLst/>
            </c:spPr>
          </c:dPt>
          <c:dPt>
            <c:idx val="3"/>
            <c:bubble3D val="0"/>
            <c:spPr>
              <a:solidFill>
                <a:srgbClr val="4F81BD">
                  <a:lumMod val="60000"/>
                  <a:lumOff val="40000"/>
                </a:srgbClr>
              </a:solidFill>
              <a:ln w="19050">
                <a:solidFill>
                  <a:sysClr val="window" lastClr="FFFFFF"/>
                </a:solidFill>
              </a:ln>
              <a:effectLst/>
            </c:spPr>
          </c:dPt>
          <c:dPt>
            <c:idx val="4"/>
            <c:bubble3D val="0"/>
            <c:spPr>
              <a:solidFill>
                <a:srgbClr val="4BACC6">
                  <a:lumMod val="60000"/>
                  <a:lumOff val="40000"/>
                </a:srgbClr>
              </a:solidFill>
              <a:ln w="19050">
                <a:solidFill>
                  <a:sysClr val="window" lastClr="FFFFFF"/>
                </a:solidFill>
              </a:ln>
              <a:effectLst/>
            </c:spPr>
          </c:dPt>
          <c:dLbls>
            <c:dLbl>
              <c:idx val="0"/>
              <c:layout>
                <c:manualLayout>
                  <c:x val="0.138443795358143"/>
                  <c:y val="-5.50544190617081e-17"/>
                </c:manualLayout>
              </c:layou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0905660377358491"/>
                  <c:y val="0.0931899641577061"/>
                </c:manualLayout>
              </c:layou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130817610062893"/>
                  <c:y val="-0.0215056585668727"/>
                </c:manualLayout>
              </c:layout>
              <c:showLegendKey val="0"/>
              <c:showVal val="1"/>
              <c:showCatName val="1"/>
              <c:showSerName val="0"/>
              <c:showPercent val="0"/>
              <c:showBubbleSize val="0"/>
              <c:extLst>
                <c:ext xmlns:c15="http://schemas.microsoft.com/office/drawing/2012/chart" uri="{CE6537A1-D6FC-4f65-9D91-7224C49458BB}">
                  <c15:layout>
                    <c:manualLayout>
                      <c:w val="0.236477987421384"/>
                      <c:h val="0.267993113764005"/>
                    </c:manualLayout>
                  </c15:layout>
                </c:ext>
              </c:extLst>
            </c:dLbl>
            <c:dLbl>
              <c:idx val="3"/>
              <c:layout>
                <c:manualLayout>
                  <c:x val="-0.130817610062893"/>
                  <c:y val="-0.100358422939068"/>
                </c:manualLayout>
              </c:layout>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0.0889344948902664"/>
                  <c:y val="-0.102683076777565"/>
                </c:manualLayout>
              </c:layout>
              <c:tx>
                <c:rich>
                  <a:bodyPr rot="0" spcFirstLastPara="1" vertOverflow="ellipsis" vert="horz" wrap="square" lIns="38100" tIns="19050" rIns="38100" bIns="19050" anchor="ctr" anchorCtr="1"/>
                  <a:lstStyle/>
                  <a:p>
                    <a:fld id="{be1f906c-9323-4c62-bf07-bdd2289d23da}" type="CATEGORYNAME">
                      <a:t>[CATEGORY NAME]</a:t>
                    </a:fld>
                    <a:r>
                      <a:t>,</a:t>
                    </a:r>
                    <a:fld id="{6d84e064-1417-4306-a842-f0279059b6de}" type="VALUE">
                      <a:t>[VALUE]</a:t>
                    </a:fld>
                    <a:endParaRPr lang="en-US" altLang="zh-CN"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0"/>
              <c:showBubbleSize val="0"/>
              <c:extLst>
                <c:ext xmlns:c15="http://schemas.microsoft.com/office/drawing/2012/chart" uri="{CE6537A1-D6FC-4f65-9D91-7224C49458BB}">
                  <c15:layout>
                    <c:manualLayout>
                      <c:w val="0.256691213783291"/>
                      <c:h val="0.154264500721194"/>
                    </c:manualLayout>
                  </c15:layout>
                </c:ext>
              </c:extLst>
            </c:dLbl>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p>
            </c:txPr>
            <c:showLegendKey val="0"/>
            <c:showVal val="1"/>
            <c:showCatName val="1"/>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ysClr val="windowText" lastClr="000000">
                          <a:lumMod val="35000"/>
                          <a:lumOff val="65000"/>
                        </a:sysClr>
                      </a:solidFill>
                      <a:round/>
                    </a:ln>
                    <a:effectLst/>
                  </c:spPr>
                </c15:leaderLines>
              </c:ext>
            </c:extLst>
          </c:dLbls>
          <c:cat>
            <c:strRef>
              <c:f>Sheet1!$A$2:$A$6</c:f>
              <c:strCache>
                <c:ptCount val="5"/>
                <c:pt idx="0">
                  <c:v>很相关</c:v>
                </c:pt>
                <c:pt idx="1">
                  <c:v>相关</c:v>
                </c:pt>
                <c:pt idx="2">
                  <c:v>基本相关</c:v>
                </c:pt>
                <c:pt idx="3">
                  <c:v>不相关</c:v>
                </c:pt>
                <c:pt idx="4">
                  <c:v>很不相关</c:v>
                </c:pt>
              </c:strCache>
            </c:strRef>
          </c:cat>
          <c:val>
            <c:numRef>
              <c:f>Sheet1!$B$2:$B$6</c:f>
              <c:numCache>
                <c:formatCode>0.00%</c:formatCode>
                <c:ptCount val="5"/>
                <c:pt idx="0">
                  <c:v>0.4411</c:v>
                </c:pt>
                <c:pt idx="1">
                  <c:v>0.3014</c:v>
                </c:pt>
                <c:pt idx="2">
                  <c:v>0.1836</c:v>
                </c:pt>
                <c:pt idx="3">
                  <c:v>0.0539</c:v>
                </c:pt>
                <c:pt idx="4">
                  <c:v>0.02</c:v>
                </c:pt>
              </c:numCache>
            </c:numRef>
          </c:val>
        </c:ser>
        <c:dLbls>
          <c:showLegendKey val="0"/>
          <c:showVal val="1"/>
          <c:showCatName val="0"/>
          <c:showSerName val="0"/>
          <c:showPercent val="0"/>
          <c:showBubbleSize val="0"/>
          <c:showLeaderLines val="0"/>
        </c:dLbls>
        <c:firstSliceAng val="0"/>
        <c:holeSize val="75"/>
      </c:doughnutChart>
      <c:spPr>
        <a:noFill/>
        <a:ln>
          <a:noFill/>
        </a:ln>
        <a:effectLst/>
      </c:spPr>
    </c:plotArea>
    <c:plotVisOnly val="1"/>
    <c:dispBlanksAs val="gap"/>
    <c:showDLblsOverMax val="0"/>
  </c:chart>
  <c:spPr>
    <a:solidFill>
      <a:sysClr val="window" lastClr="FFFFFF"/>
    </a:solidFill>
    <a:ln w="9525" cap="flat" cmpd="sng" algn="ctr">
      <a:solidFill>
        <a:sysClr val="window" lastClr="FFFFFF"/>
      </a:solidFill>
      <a:round/>
    </a:ln>
    <a:effectLst/>
  </c:spPr>
  <c:txPr>
    <a:bodyPr/>
    <a:lstStyle/>
    <a:p>
      <a:pPr>
        <a:defRPr lang="zh-CN">
          <a:solidFill>
            <a:sysClr val="windowText" lastClr="000000"/>
          </a:solidFill>
        </a:defRPr>
      </a:pPr>
    </a:p>
  </c:tx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1376064705818"/>
          <c:y val="0.0497202361763108"/>
          <c:w val="0.610915420337737"/>
          <c:h val="0.825657840004307"/>
        </c:manualLayout>
      </c:layout>
      <c:barChart>
        <c:barDir val="bar"/>
        <c:grouping val="clustered"/>
        <c:varyColors val="0"/>
        <c:ser>
          <c:idx val="0"/>
          <c:order val="0"/>
          <c:tx>
            <c:strRef>
              <c:f>Sheet1!$B$1</c:f>
              <c:strCache>
                <c:ptCount val="1"/>
                <c:pt idx="0">
                  <c:v>占比</c:v>
                </c:pt>
              </c:strCache>
            </c:strRef>
          </c:tx>
          <c:spPr>
            <a:solidFill>
              <a:srgbClr val="0F6FC6"/>
            </a:solidFill>
            <a:ln>
              <a:noFill/>
            </a:ln>
            <a:effectLst/>
          </c:spPr>
          <c:invertIfNegative val="0"/>
          <c:dPt>
            <c:idx val="0"/>
            <c:invertIfNegative val="0"/>
            <c:bubble3D val="0"/>
            <c:spPr>
              <a:solidFill>
                <a:srgbClr val="0F6FC6"/>
              </a:solidFill>
              <a:ln>
                <a:noFill/>
              </a:ln>
              <a:effectLst/>
            </c:spPr>
          </c:dPt>
          <c:dPt>
            <c:idx val="1"/>
            <c:invertIfNegative val="0"/>
            <c:bubble3D val="0"/>
            <c:spPr>
              <a:solidFill>
                <a:srgbClr val="0F6FC6"/>
              </a:solidFill>
              <a:ln>
                <a:noFill/>
              </a:ln>
              <a:effectLst/>
            </c:spPr>
          </c:dPt>
          <c:dPt>
            <c:idx val="2"/>
            <c:invertIfNegative val="0"/>
            <c:bubble3D val="0"/>
            <c:spPr>
              <a:solidFill>
                <a:srgbClr val="0F6FC6"/>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ysClr val="windowText" lastClr="000000">
                          <a:shade val="95000"/>
                          <a:satMod val="105000"/>
                        </a:sysClr>
                      </a:solidFill>
                      <a:prstDash val="solid"/>
                      <a:round/>
                    </a:ln>
                    <a:effectLst/>
                  </c:spPr>
                </c15:leaderLines>
              </c:ext>
            </c:extLst>
          </c:dLbls>
          <c:cat>
            <c:strRef>
              <c:f>Sheet1!$A$2:$A$7</c:f>
              <c:strCache>
                <c:ptCount val="6"/>
                <c:pt idx="0">
                  <c:v>其他</c:v>
                </c:pt>
                <c:pt idx="1">
                  <c:v>学习压力小</c:v>
                </c:pt>
                <c:pt idx="2">
                  <c:v>志愿外被调剂</c:v>
                </c:pt>
                <c:pt idx="3">
                  <c:v>就业前景好</c:v>
                </c:pt>
                <c:pt idx="4">
                  <c:v>出于个人兴趣</c:v>
                </c:pt>
                <c:pt idx="5">
                  <c:v>考取难度低</c:v>
                </c:pt>
              </c:strCache>
            </c:strRef>
          </c:cat>
          <c:val>
            <c:numRef>
              <c:f>Sheet1!$B$2:$B$7</c:f>
              <c:numCache>
                <c:formatCode>0.00%</c:formatCode>
                <c:ptCount val="6"/>
                <c:pt idx="0">
                  <c:v>0.1622</c:v>
                </c:pt>
                <c:pt idx="1">
                  <c:v>0.027</c:v>
                </c:pt>
                <c:pt idx="2">
                  <c:v>0.1622</c:v>
                </c:pt>
                <c:pt idx="3">
                  <c:v>0.1622</c:v>
                </c:pt>
                <c:pt idx="4">
                  <c:v>0.1892</c:v>
                </c:pt>
                <c:pt idx="5">
                  <c:v>0.2973</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972182824"/>
        <c:crosses val="autoZero"/>
        <c:auto val="1"/>
        <c:lblAlgn val="ctr"/>
        <c:lblOffset val="100"/>
        <c:noMultiLvlLbl val="0"/>
      </c:catAx>
      <c:valAx>
        <c:axId val="972182824"/>
        <c:scaling>
          <c:orientation val="minMax"/>
          <c:max val="0.4"/>
          <c:min val="0"/>
        </c:scaling>
        <c:delete val="0"/>
        <c:axPos val="b"/>
        <c:numFmt formatCode="0.00%" sourceLinked="1"/>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972182432"/>
        <c:crosses val="autoZero"/>
        <c:crossBetween val="between"/>
        <c:majorUnit val="0.2"/>
      </c:valAx>
      <c:spPr>
        <a:solidFill>
          <a:sysClr val="window" lastClr="FFFFFF"/>
        </a:solidFill>
        <a:ln>
          <a:noFill/>
        </a:ln>
        <a:effectLst/>
      </c:spPr>
    </c:plotArea>
    <c:plotVisOnly val="1"/>
    <c:dispBlanksAs val="gap"/>
    <c:showDLblsOverMax val="0"/>
  </c:chart>
  <c:spPr>
    <a:solidFill>
      <a:sysClr val="window" lastClr="FFFFFF"/>
    </a:solidFill>
    <a:ln w="9525" cap="flat" cmpd="sng" algn="ctr">
      <a:noFill/>
      <a:prstDash val="solid"/>
      <a:round/>
    </a:ln>
    <a:effectLst/>
  </c:spPr>
  <c:txPr>
    <a:bodyPr/>
    <a:lstStyle/>
    <a:p>
      <a:pPr>
        <a:defRPr lang="zh-CN"/>
      </a:pPr>
    </a:p>
  </c:tx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818383423990785"/>
          <c:y val="0.0521400869667411"/>
          <c:w val="0.84408756197142"/>
          <c:h val="0.632638774630783"/>
        </c:manualLayout>
      </c:layout>
      <c:barChart>
        <c:barDir val="col"/>
        <c:grouping val="clustered"/>
        <c:varyColors val="0"/>
        <c:ser>
          <c:idx val="0"/>
          <c:order val="0"/>
          <c:tx>
            <c:strRef>
              <c:f>Sheet1!$B$1</c:f>
              <c:strCache>
                <c:ptCount val="1"/>
                <c:pt idx="0">
                  <c:v>本校2020届专科毕业生</c:v>
                </c:pt>
              </c:strCache>
            </c:strRef>
          </c:tx>
          <c:invertIfNegative val="1"/>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c:f>
              <c:strCache>
                <c:ptCount val="1"/>
                <c:pt idx="0">
                  <c:v>出国/出境留学</c:v>
                </c:pt>
              </c:strCache>
            </c:strRef>
          </c:cat>
          <c:val>
            <c:numRef>
              <c:f>Sheet1!$B$2</c:f>
              <c:numCache>
                <c:formatCode>0.00%</c:formatCode>
                <c:ptCount val="1"/>
                <c:pt idx="0">
                  <c:v>0.007</c:v>
                </c:pt>
              </c:numCache>
            </c:numRef>
          </c:val>
        </c:ser>
        <c:ser>
          <c:idx val="1"/>
          <c:order val="1"/>
          <c:tx>
            <c:strRef>
              <c:f>Sheet1!$C$1</c:f>
              <c:strCache>
                <c:ptCount val="1"/>
                <c:pt idx="0">
                  <c:v>本校2021届专科毕业生</c:v>
                </c:pt>
              </c:strCache>
            </c:strRef>
          </c:tx>
          <c:invertIfNegative val="1"/>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c:f>
              <c:strCache>
                <c:ptCount val="1"/>
                <c:pt idx="0">
                  <c:v>出国/出境留学</c:v>
                </c:pt>
              </c:strCache>
            </c:strRef>
          </c:cat>
          <c:val>
            <c:numRef>
              <c:f>Sheet1!$C$2</c:f>
              <c:numCache>
                <c:formatCode>0.00%</c:formatCode>
                <c:ptCount val="1"/>
                <c:pt idx="0">
                  <c:v>0.0045</c:v>
                </c:pt>
              </c:numCache>
            </c:numRef>
          </c:val>
        </c:ser>
        <c:ser>
          <c:idx val="2"/>
          <c:order val="2"/>
          <c:tx>
            <c:strRef>
              <c:f>Sheet1!$D$1</c:f>
              <c:strCache>
                <c:ptCount val="1"/>
                <c:pt idx="0">
                  <c:v>本校2022届专科毕业生</c:v>
                </c:pt>
              </c:strCache>
            </c:strRef>
          </c:tx>
          <c:invertIfNegative val="0"/>
          <c:dPt>
            <c:idx val="0"/>
            <c:invertIfNegative val="0"/>
            <c:bubble3D val="0"/>
            <c:spPr>
              <a:solidFill>
                <a:srgbClr val="4F81BD">
                  <a:lumMod val="60000"/>
                  <a:lumOff val="40000"/>
                </a:srgbClr>
              </a:solidFill>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c:f>
              <c:strCache>
                <c:ptCount val="1"/>
                <c:pt idx="0">
                  <c:v>出国/出境留学</c:v>
                </c:pt>
              </c:strCache>
            </c:strRef>
          </c:cat>
          <c:val>
            <c:numRef>
              <c:f>Sheet1!$D$2</c:f>
              <c:numCache>
                <c:formatCode>0.00%</c:formatCode>
                <c:ptCount val="1"/>
                <c:pt idx="0">
                  <c:v>0.0165</c:v>
                </c:pt>
              </c:numCache>
            </c:numRef>
          </c:val>
        </c:ser>
        <c:ser>
          <c:idx val="3"/>
          <c:order val="3"/>
          <c:tx>
            <c:strRef>
              <c:f>Sheet1!$E$1</c:f>
              <c:strCache>
                <c:ptCount val="1"/>
                <c:pt idx="0">
                  <c:v>全国高校2022届专科毕业生</c:v>
                </c:pt>
              </c:strCache>
            </c:strRef>
          </c:tx>
          <c:spPr>
            <a:solidFill>
              <a:srgbClr val="4F81BD"/>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c:f>
              <c:strCache>
                <c:ptCount val="1"/>
                <c:pt idx="0">
                  <c:v>出国/出境留学</c:v>
                </c:pt>
              </c:strCache>
            </c:strRef>
          </c:cat>
          <c:val>
            <c:numRef>
              <c:f>Sheet1!$E$2</c:f>
              <c:numCache>
                <c:formatCode>0.00%</c:formatCode>
                <c:ptCount val="1"/>
                <c:pt idx="0">
                  <c:v>0.0042</c:v>
                </c:pt>
              </c:numCache>
            </c:numRef>
          </c:val>
        </c:ser>
        <c:dLbls>
          <c:showLegendKey val="0"/>
          <c:showVal val="1"/>
          <c:showCatName val="0"/>
          <c:showSerName val="0"/>
          <c:showPercent val="0"/>
          <c:showBubbleSize val="0"/>
        </c:dLbls>
        <c:gapWidth val="269"/>
        <c:overlap val="-15"/>
        <c:axId val="608998768"/>
        <c:axId val="608999160"/>
      </c:barChart>
      <c:catAx>
        <c:axId val="608998768"/>
        <c:scaling>
          <c:orientation val="minMax"/>
        </c:scaling>
        <c:delete val="0"/>
        <c:axPos val="b"/>
        <c:numFmt formatCode="General" sourceLinked="1"/>
        <c:majorTickMark val="none"/>
        <c:minorTickMark val="none"/>
        <c:tickLblPos val="nextTo"/>
        <c:spPr>
          <a:noFill/>
          <a:ln w="12700" cap="flat" cmpd="sng" algn="ctr">
            <a:solidFill>
              <a:sysClr val="window" lastClr="FFFFFF">
                <a:lumMod val="50000"/>
              </a:sysClr>
            </a:solidFill>
            <a:prstDash val="solid"/>
            <a:round/>
          </a:ln>
        </c:spPr>
        <c:txPr>
          <a:bodyPr rot="0" spcFirstLastPara="1" vertOverflow="ellipsis" vert="horz" wrap="square" anchor="ctr" anchorCtr="1"/>
          <a:lstStyle/>
          <a:p>
            <a:pPr>
              <a:defRPr lang="zh-CN" sz="900" b="0" i="0" u="none" strike="noStrike" kern="1200" baseline="0">
                <a:solidFill>
                  <a:sysClr val="window" lastClr="FFFFFF"/>
                </a:solidFill>
                <a:latin typeface="+mn-lt"/>
                <a:ea typeface="+mn-ea"/>
                <a:cs typeface="+mn-cs"/>
              </a:defRPr>
            </a:pPr>
          </a:p>
        </c:txPr>
        <c:crossAx val="608999160"/>
        <c:crosses val="autoZero"/>
        <c:auto val="1"/>
        <c:lblAlgn val="ctr"/>
        <c:lblOffset val="100"/>
        <c:noMultiLvlLbl val="0"/>
      </c:catAx>
      <c:valAx>
        <c:axId val="608999160"/>
        <c:scaling>
          <c:orientation val="minMax"/>
          <c:min val="0"/>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608998768"/>
        <c:crosses val="autoZero"/>
        <c:crossBetween val="between"/>
      </c:valAx>
      <c:spPr>
        <a:noFill/>
        <a:ln>
          <a:noFill/>
        </a:ln>
      </c:spPr>
    </c:plotArea>
    <c:legend>
      <c:legendPos val="b"/>
      <c:layout>
        <c:manualLayout>
          <c:xMode val="edge"/>
          <c:yMode val="edge"/>
          <c:x val="0.112475206241783"/>
          <c:y val="0.803133153131978"/>
          <c:w val="0.782524721723217"/>
          <c:h val="0.160448936420261"/>
        </c:manualLayout>
      </c:layout>
      <c:overlay val="0"/>
      <c:spPr>
        <a:noFill/>
        <a:ln>
          <a:noFill/>
        </a:ln>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gap"/>
    <c:showDLblsOverMax val="0"/>
  </c:chart>
  <c:spPr>
    <a:solidFill>
      <a:sysClr val="window" lastClr="FFFFFF"/>
    </a:solidFill>
    <a:ln w="9525" cap="flat" cmpd="sng" algn="ctr">
      <a:noFill/>
      <a:prstDash val="solid"/>
      <a:round/>
    </a:ln>
  </c:spPr>
  <c:txPr>
    <a:bodyPr/>
    <a:lstStyle/>
    <a:p>
      <a:pPr>
        <a:defRPr lang="zh-CN">
          <a:solidFill>
            <a:sysClr val="windowText" lastClr="000000"/>
          </a:solidFill>
        </a:defRPr>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5319966447493"/>
          <c:y val="0.133353113469512"/>
          <c:w val="0.39121600779284"/>
          <c:h val="0.733293773060976"/>
        </c:manualLayout>
      </c:layout>
      <c:pieChart>
        <c:varyColors val="1"/>
        <c:ser>
          <c:idx val="0"/>
          <c:order val="0"/>
          <c:tx>
            <c:strRef>
              <c:f>Sheet1!$B$1</c:f>
              <c:strCache>
                <c:ptCount val="1"/>
                <c:pt idx="0">
                  <c:v>占比</c:v>
                </c:pt>
              </c:strCache>
            </c:strRef>
          </c:tx>
          <c:explosion val="0"/>
          <c:dPt>
            <c:idx val="0"/>
            <c:bubble3D val="0"/>
            <c:spPr>
              <a:solidFill>
                <a:srgbClr val="0F6FC6"/>
              </a:solidFill>
              <a:ln w="19050">
                <a:solidFill>
                  <a:sysClr val="window" lastClr="FFFFFF"/>
                </a:solidFill>
              </a:ln>
              <a:effectLst/>
            </c:spPr>
          </c:dPt>
          <c:dPt>
            <c:idx val="1"/>
            <c:bubble3D val="0"/>
            <c:spPr>
              <a:solidFill>
                <a:srgbClr val="009DD9"/>
              </a:solidFill>
              <a:ln w="19050">
                <a:solidFill>
                  <a:sysClr val="window" lastClr="FFFFFF"/>
                </a:solidFill>
              </a:ln>
              <a:effectLst/>
            </c:spPr>
          </c:dPt>
          <c:dPt>
            <c:idx val="2"/>
            <c:bubble3D val="0"/>
            <c:spPr>
              <a:solidFill>
                <a:srgbClr val="1F497D">
                  <a:lumMod val="60000"/>
                  <a:lumOff val="40000"/>
                </a:srgbClr>
              </a:solidFill>
              <a:ln w="19050">
                <a:solidFill>
                  <a:sysClr val="window" lastClr="FFFFFF"/>
                </a:solidFill>
              </a:ln>
              <a:effectLst/>
            </c:spPr>
          </c:dPt>
          <c:dPt>
            <c:idx val="3"/>
            <c:bubble3D val="0"/>
            <c:spPr>
              <a:solidFill>
                <a:srgbClr val="1F497D">
                  <a:lumMod val="40000"/>
                  <a:lumOff val="60000"/>
                </a:srgbClr>
              </a:solidFill>
              <a:ln w="19050">
                <a:solidFill>
                  <a:sysClr val="window" lastClr="FFFFFF"/>
                </a:solidFill>
              </a:ln>
              <a:effectLst/>
            </c:spPr>
          </c:dPt>
          <c:dPt>
            <c:idx val="4"/>
            <c:bubble3D val="0"/>
            <c:spPr>
              <a:solidFill>
                <a:srgbClr val="4F81BD">
                  <a:lumMod val="40000"/>
                  <a:lumOff val="60000"/>
                </a:srgbClr>
              </a:solidFill>
              <a:ln w="19050">
                <a:solidFill>
                  <a:sysClr val="window" lastClr="FFFFFF"/>
                </a:solidFill>
              </a:ln>
              <a:effectLst/>
            </c:spPr>
          </c:dPt>
          <c:dLbls>
            <c:dLbl>
              <c:idx val="0"/>
              <c:layout>
                <c:manualLayout>
                  <c:x val="-0.0191761173348777"/>
                  <c:y val="-0.00234171948018693"/>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0130530075493141"/>
                  <c:y val="-2.94906956855112e-6"/>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00590091187055226"/>
                  <c:y val="-0.0459199622519095"/>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00687285223367698"/>
                  <c:y val="0.0673912530596597"/>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0.00828618711714138"/>
                  <c:y val="0.012355162921708"/>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clip" horzOverflow="clip" vert="horz" wrap="square" lIns="36576" tIns="18288" rIns="36576" bIns="18288" anchor="ctr" anchorCtr="1">
                <a:sp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1"/>
            <c:showCatName val="1"/>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非常多</c:v>
                </c:pt>
                <c:pt idx="1">
                  <c:v>比较多</c:v>
                </c:pt>
                <c:pt idx="2">
                  <c:v>一般</c:v>
                </c:pt>
                <c:pt idx="3">
                  <c:v>比较少</c:v>
                </c:pt>
                <c:pt idx="4">
                  <c:v>非常少</c:v>
                </c:pt>
              </c:strCache>
            </c:strRef>
          </c:cat>
          <c:val>
            <c:numRef>
              <c:f>Sheet1!$B$2:$B$6</c:f>
              <c:numCache>
                <c:formatCode>0.00%</c:formatCode>
                <c:ptCount val="5"/>
                <c:pt idx="0">
                  <c:v>0.0968</c:v>
                </c:pt>
                <c:pt idx="1">
                  <c:v>0.2984</c:v>
                </c:pt>
                <c:pt idx="2">
                  <c:v>0.379</c:v>
                </c:pt>
                <c:pt idx="3">
                  <c:v>0.0726</c:v>
                </c:pt>
                <c:pt idx="4">
                  <c:v>0.1532</c:v>
                </c:pt>
              </c:numCache>
            </c:numRef>
          </c:val>
        </c:ser>
        <c:dLbls>
          <c:showLegendKey val="0"/>
          <c:showVal val="0"/>
          <c:showCatName val="0"/>
          <c:showSerName val="0"/>
          <c:showPercent val="0"/>
          <c:showBubbleSize val="0"/>
          <c:showLeaderLines val="0"/>
        </c:dLbls>
        <c:firstSliceAng val="0"/>
      </c:pieChart>
      <c:spPr>
        <a:noFill/>
        <a:ln>
          <a:noFill/>
        </a:ln>
      </c:spPr>
    </c:plotArea>
    <c:plotVisOnly val="1"/>
    <c:dispBlanksAs val="gap"/>
    <c:showDLblsOverMax val="0"/>
  </c:chart>
  <c:spPr>
    <a:solidFill>
      <a:sysClr val="window" lastClr="FFFFFF"/>
    </a:solidFill>
    <a:ln w="9525" cap="flat" cmpd="sng" algn="ctr">
      <a:solidFill>
        <a:sysClr val="window" lastClr="FFFFFF"/>
      </a:solidFill>
      <a:prstDash val="solid"/>
      <a:round/>
    </a:ln>
  </c:spPr>
  <c:txPr>
    <a:bodyPr/>
    <a:lstStyle/>
    <a:p>
      <a:pPr>
        <a:defRPr lang="zh-CN">
          <a:solidFill>
            <a:sysClr val="windowText" lastClr="000000"/>
          </a:solidFill>
        </a:defRPr>
      </a:pPr>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32036573373412"/>
          <c:y val="0.0497202361763108"/>
          <c:w val="0.460428363195079"/>
          <c:h val="0.853877574197456"/>
        </c:manualLayout>
      </c:layout>
      <c:barChart>
        <c:barDir val="bar"/>
        <c:grouping val="clustered"/>
        <c:varyColors val="0"/>
        <c:ser>
          <c:idx val="0"/>
          <c:order val="0"/>
          <c:tx>
            <c:strRef>
              <c:f>Sheet1!$B$1</c:f>
              <c:strCache>
                <c:ptCount val="1"/>
                <c:pt idx="0">
                  <c:v>占比</c:v>
                </c:pt>
              </c:strCache>
            </c:strRef>
          </c:tx>
          <c:spPr>
            <a:solidFill>
              <a:srgbClr val="0F6FC6"/>
            </a:solidFill>
            <a:ln>
              <a:noFill/>
            </a:ln>
            <a:effectLst/>
          </c:spPr>
          <c:invertIfNegative val="0"/>
          <c:dPt>
            <c:idx val="0"/>
            <c:invertIfNegative val="0"/>
            <c:bubble3D val="0"/>
            <c:spPr>
              <a:solidFill>
                <a:srgbClr val="0F6FC6"/>
              </a:solidFill>
              <a:ln>
                <a:noFill/>
              </a:ln>
              <a:effectLst/>
            </c:spPr>
          </c:dPt>
          <c:dPt>
            <c:idx val="1"/>
            <c:invertIfNegative val="0"/>
            <c:bubble3D val="0"/>
            <c:spPr>
              <a:solidFill>
                <a:srgbClr val="0F6FC6"/>
              </a:solidFill>
              <a:ln>
                <a:noFill/>
              </a:ln>
              <a:effectLst/>
            </c:spPr>
          </c:dPt>
          <c:dPt>
            <c:idx val="2"/>
            <c:invertIfNegative val="0"/>
            <c:bubble3D val="0"/>
            <c:spPr>
              <a:solidFill>
                <a:srgbClr val="0F6FC6"/>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ysClr val="windowText" lastClr="000000">
                          <a:shade val="95000"/>
                          <a:satMod val="105000"/>
                        </a:sysClr>
                      </a:solidFill>
                      <a:prstDash val="solid"/>
                      <a:round/>
                    </a:ln>
                    <a:effectLst/>
                  </c:spPr>
                </c15:leaderLines>
              </c:ext>
            </c:extLst>
          </c:dLbls>
          <c:cat>
            <c:strRef>
              <c:f>Sheet1!$A$2:$A$8</c:f>
              <c:strCache>
                <c:ptCount val="7"/>
                <c:pt idx="0">
                  <c:v>其他</c:v>
                </c:pt>
                <c:pt idx="1">
                  <c:v>拓展视野，体验国外风俗文化</c:v>
                </c:pt>
                <c:pt idx="2">
                  <c:v>受周围环境（家人安排、留学热潮）影响</c:v>
                </c:pt>
                <c:pt idx="3">
                  <c:v>获得国外发展机会</c:v>
                </c:pt>
                <c:pt idx="4">
                  <c:v>获得更好的教育教学条件、科研氛围</c:v>
                </c:pt>
                <c:pt idx="5">
                  <c:v>增加择业资本，增强就业竞争力</c:v>
                </c:pt>
                <c:pt idx="6">
                  <c:v>提高语言水平</c:v>
                </c:pt>
              </c:strCache>
            </c:strRef>
          </c:cat>
          <c:val>
            <c:numRef>
              <c:f>Sheet1!$B$2:$B$8</c:f>
              <c:numCache>
                <c:formatCode>0.00%</c:formatCode>
                <c:ptCount val="7"/>
                <c:pt idx="0">
                  <c:v>0.0385</c:v>
                </c:pt>
                <c:pt idx="1">
                  <c:v>0.1154</c:v>
                </c:pt>
                <c:pt idx="2">
                  <c:v>0.1538</c:v>
                </c:pt>
                <c:pt idx="3">
                  <c:v>0.1538</c:v>
                </c:pt>
                <c:pt idx="4">
                  <c:v>0.1538</c:v>
                </c:pt>
                <c:pt idx="5">
                  <c:v>0.1538</c:v>
                </c:pt>
                <c:pt idx="6">
                  <c:v>0.2308</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972182824"/>
        <c:crosses val="autoZero"/>
        <c:auto val="1"/>
        <c:lblAlgn val="ctr"/>
        <c:lblOffset val="100"/>
        <c:noMultiLvlLbl val="0"/>
      </c:catAx>
      <c:valAx>
        <c:axId val="972182824"/>
        <c:scaling>
          <c:orientation val="minMax"/>
          <c:max val="0.3"/>
          <c:min val="0"/>
        </c:scaling>
        <c:delete val="0"/>
        <c:axPos val="b"/>
        <c:numFmt formatCode="0.00%" sourceLinked="1"/>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972182432"/>
        <c:crosses val="autoZero"/>
        <c:crossBetween val="between"/>
        <c:majorUnit val="0.1"/>
      </c:valAx>
      <c:spPr>
        <a:solidFill>
          <a:sysClr val="window" lastClr="FFFFFF"/>
        </a:solidFill>
        <a:ln>
          <a:noFill/>
        </a:ln>
        <a:effectLst/>
      </c:spPr>
    </c:plotArea>
    <c:plotVisOnly val="1"/>
    <c:dispBlanksAs val="gap"/>
    <c:showDLblsOverMax val="0"/>
  </c:chart>
  <c:spPr>
    <a:solidFill>
      <a:sysClr val="window" lastClr="FFFFFF"/>
    </a:solidFill>
    <a:ln w="9525" cap="flat" cmpd="sng" algn="ctr">
      <a:noFill/>
      <a:prstDash val="solid"/>
      <a:round/>
    </a:ln>
    <a:effectLst/>
  </c:spPr>
  <c:txPr>
    <a:bodyPr/>
    <a:lstStyle/>
    <a:p>
      <a:pPr>
        <a:defRPr lang="zh-CN"/>
      </a:pPr>
    </a:p>
  </c:tx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1678626091916"/>
          <c:y val="0.0905289304234895"/>
          <c:w val="0.533550698069615"/>
          <c:h val="0.832634480378534"/>
        </c:manualLayout>
      </c:layout>
      <c:doughnutChart>
        <c:varyColors val="1"/>
        <c:ser>
          <c:idx val="0"/>
          <c:order val="0"/>
          <c:tx>
            <c:strRef>
              <c:f>Sheet1!$B$1</c:f>
              <c:strCache>
                <c:ptCount val="1"/>
                <c:pt idx="0">
                  <c:v>占比</c:v>
                </c:pt>
              </c:strCache>
            </c:strRef>
          </c:tx>
          <c:explosion val="0"/>
          <c:dPt>
            <c:idx val="0"/>
            <c:bubble3D val="0"/>
            <c:spPr>
              <a:solidFill>
                <a:srgbClr val="0F6FC6"/>
              </a:solidFill>
              <a:ln w="19050">
                <a:solidFill>
                  <a:sysClr val="window" lastClr="FFFFFF"/>
                </a:solidFill>
              </a:ln>
              <a:effectLst/>
            </c:spPr>
          </c:dPt>
          <c:dPt>
            <c:idx val="1"/>
            <c:bubble3D val="0"/>
            <c:spPr>
              <a:solidFill>
                <a:srgbClr val="009DD9"/>
              </a:solidFill>
              <a:ln w="19050">
                <a:solidFill>
                  <a:sysClr val="window" lastClr="FFFFFF"/>
                </a:solidFill>
              </a:ln>
              <a:effectLst/>
            </c:spPr>
          </c:dPt>
          <c:dPt>
            <c:idx val="2"/>
            <c:bubble3D val="0"/>
            <c:spPr>
              <a:solidFill>
                <a:srgbClr val="1F497D">
                  <a:lumMod val="20000"/>
                  <a:lumOff val="80000"/>
                </a:srgbClr>
              </a:solidFill>
              <a:ln w="19050">
                <a:solidFill>
                  <a:sysClr val="window" lastClr="FFFFFF"/>
                </a:solidFill>
              </a:ln>
              <a:effectLst/>
            </c:spPr>
          </c:dPt>
          <c:dPt>
            <c:idx val="3"/>
            <c:bubble3D val="0"/>
            <c:spPr>
              <a:solidFill>
                <a:srgbClr val="1F497D">
                  <a:lumMod val="40000"/>
                  <a:lumOff val="60000"/>
                </a:srgbClr>
              </a:solidFill>
              <a:ln w="19050">
                <a:solidFill>
                  <a:sysClr val="window" lastClr="FFFFFF"/>
                </a:solidFill>
              </a:ln>
              <a:effectLst/>
            </c:spPr>
          </c:dPt>
          <c:dPt>
            <c:idx val="4"/>
            <c:bubble3D val="0"/>
            <c:spPr>
              <a:solidFill>
                <a:srgbClr val="0F6FC6"/>
              </a:solidFill>
              <a:ln w="19050">
                <a:solidFill>
                  <a:sysClr val="window" lastClr="FFFFFF"/>
                </a:solidFill>
              </a:ln>
              <a:effectLst/>
            </c:spPr>
          </c:dPt>
          <c:dLbls>
            <c:dLbl>
              <c:idx val="0"/>
              <c:layout>
                <c:manualLayout>
                  <c:x val="0.147646815766654"/>
                  <c:y val="-0.0893884696073891"/>
                </c:manualLayout>
              </c:layout>
              <c:showLegendKey val="0"/>
              <c:showVal val="1"/>
              <c:showCatName val="1"/>
              <c:showSerName val="0"/>
              <c:showPercent val="0"/>
              <c:showBubbleSize val="0"/>
              <c:extLst>
                <c:ext xmlns:c15="http://schemas.microsoft.com/office/drawing/2012/chart" uri="{CE6537A1-D6FC-4f65-9D91-7224C49458BB}">
                  <c15:layout>
                    <c:manualLayout>
                      <c:w val="0.167202367442429"/>
                      <c:h val="0.176961011361469"/>
                    </c:manualLayout>
                  </c15:layout>
                </c:ext>
              </c:extLst>
            </c:dLbl>
            <c:dLbl>
              <c:idx val="1"/>
              <c:layout>
                <c:manualLayout>
                  <c:x val="0.171813875261158"/>
                  <c:y val="0.0931899299784759"/>
                </c:manualLayout>
              </c:layou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205472237256374"/>
                  <c:y val="0.0880677328828706"/>
                </c:manualLayout>
              </c:layou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201031827784276"/>
                  <c:y val="-0.1003582813394"/>
                </c:manualLayout>
              </c:layout>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0.124935547136431"/>
                  <c:y val="-0.172365110935528"/>
                </c:manualLayout>
              </c:layout>
              <c:tx>
                <c:rich>
                  <a:bodyPr rot="0" spcFirstLastPara="1" vertOverflow="ellipsis" vert="horz" wrap="square" lIns="38100" tIns="19050" rIns="38100" bIns="19050" anchor="ctr" anchorCtr="1"/>
                  <a:lstStyle/>
                  <a:p>
                    <a:fld id="{1f8e054a-5e67-4656-a616-1df71e3d1e74}" type="CATEGORYNAME">
                      <a:t>[CATEGORY NAME]</a:t>
                    </a:fld>
                    <a:r>
                      <a:t>,</a:t>
                    </a:r>
                    <a:fld id="{3d47f328-785f-4617-ba22-6a31b6c68e36}" type="VALUE">
                      <a:t>[VALUE]</a:t>
                    </a:fld>
                    <a:endParaRPr lang="en-US" altLang="zh-CN"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p>
            </c:txPr>
            <c:showLegendKey val="0"/>
            <c:showVal val="1"/>
            <c:showCatName val="1"/>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很满意</c:v>
                </c:pt>
                <c:pt idx="1">
                  <c:v>满意</c:v>
                </c:pt>
                <c:pt idx="2">
                  <c:v>基本满意</c:v>
                </c:pt>
                <c:pt idx="3">
                  <c:v>不满意</c:v>
                </c:pt>
                <c:pt idx="4">
                  <c:v>很不满意</c:v>
                </c:pt>
              </c:strCache>
            </c:strRef>
          </c:cat>
          <c:val>
            <c:numRef>
              <c:f>Sheet1!$B$2:$B$6</c:f>
              <c:numCache>
                <c:formatCode>0.00%</c:formatCode>
                <c:ptCount val="5"/>
                <c:pt idx="0">
                  <c:v>0.2083</c:v>
                </c:pt>
                <c:pt idx="1">
                  <c:v>0.1667</c:v>
                </c:pt>
                <c:pt idx="2">
                  <c:v>0.2083</c:v>
                </c:pt>
                <c:pt idx="3">
                  <c:v>0.2083</c:v>
                </c:pt>
                <c:pt idx="4">
                  <c:v>0.2083</c:v>
                </c:pt>
              </c:numCache>
            </c:numRef>
          </c:val>
        </c:ser>
        <c:dLbls>
          <c:showLegendKey val="0"/>
          <c:showVal val="1"/>
          <c:showCatName val="0"/>
          <c:showSerName val="0"/>
          <c:showPercent val="0"/>
          <c:showBubbleSize val="0"/>
          <c:showLeaderLines val="0"/>
        </c:dLbls>
        <c:firstSliceAng val="0"/>
        <c:holeSize val="40"/>
      </c:doughnutChart>
      <c:spPr>
        <a:noFill/>
        <a:ln>
          <a:noFill/>
        </a:ln>
      </c:spPr>
    </c:plotArea>
    <c:plotVisOnly val="1"/>
    <c:dispBlanksAs val="gap"/>
    <c:showDLblsOverMax val="0"/>
  </c:chart>
  <c:spPr>
    <a:solidFill>
      <a:sysClr val="window" lastClr="FFFFFF"/>
    </a:solidFill>
    <a:ln w="9525" cap="flat" cmpd="sng" algn="ctr">
      <a:solidFill>
        <a:sysClr val="window" lastClr="FFFFFF"/>
      </a:solidFill>
      <a:prstDash val="solid"/>
      <a:round/>
    </a:ln>
  </c:spPr>
  <c:txPr>
    <a:bodyPr/>
    <a:lstStyle/>
    <a:p>
      <a:pPr>
        <a:defRPr lang="zh-CN">
          <a:solidFill>
            <a:sysClr val="windowText" lastClr="000000"/>
          </a:solidFill>
        </a:defRPr>
      </a:pPr>
    </a:p>
  </c:txPr>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4532124950464"/>
          <c:y val="0.0653854087309991"/>
          <c:w val="0.54330815536419"/>
          <c:h val="0.889516185476816"/>
        </c:manualLayout>
      </c:layout>
      <c:doughnutChart>
        <c:varyColors val="1"/>
        <c:ser>
          <c:idx val="0"/>
          <c:order val="0"/>
          <c:tx>
            <c:strRef>
              <c:f>Sheet1!$B$1</c:f>
              <c:strCache>
                <c:ptCount val="1"/>
                <c:pt idx="0">
                  <c:v>占比</c:v>
                </c:pt>
              </c:strCache>
            </c:strRef>
          </c:tx>
          <c:spPr/>
          <c:explosion val="0"/>
          <c:dPt>
            <c:idx val="0"/>
            <c:bubble3D val="0"/>
            <c:spPr>
              <a:solidFill>
                <a:srgbClr val="0F6FC6"/>
              </a:solidFill>
              <a:ln w="19050">
                <a:solidFill>
                  <a:sysClr val="window" lastClr="FFFFFF"/>
                </a:solidFill>
              </a:ln>
              <a:effectLst/>
            </c:spPr>
          </c:dPt>
          <c:dPt>
            <c:idx val="1"/>
            <c:bubble3D val="0"/>
            <c:spPr>
              <a:solidFill>
                <a:srgbClr val="009DD9"/>
              </a:solidFill>
              <a:ln w="19050">
                <a:solidFill>
                  <a:sysClr val="window" lastClr="FFFFFF"/>
                </a:solidFill>
              </a:ln>
              <a:effectLst/>
            </c:spPr>
          </c:dPt>
          <c:dPt>
            <c:idx val="2"/>
            <c:bubble3D val="0"/>
            <c:spPr>
              <a:solidFill>
                <a:srgbClr val="1F497D">
                  <a:lumMod val="20000"/>
                  <a:lumOff val="80000"/>
                </a:srgbClr>
              </a:solidFill>
              <a:ln w="19050">
                <a:solidFill>
                  <a:sysClr val="window" lastClr="FFFFFF"/>
                </a:solidFill>
              </a:ln>
              <a:effectLst/>
            </c:spPr>
          </c:dPt>
          <c:dPt>
            <c:idx val="3"/>
            <c:bubble3D val="0"/>
            <c:spPr>
              <a:solidFill>
                <a:srgbClr val="0F6FC6"/>
              </a:solidFill>
              <a:ln w="19050">
                <a:solidFill>
                  <a:sysClr val="window" lastClr="FFFFFF"/>
                </a:solidFill>
              </a:ln>
              <a:effectLst/>
            </c:spPr>
          </c:dPt>
          <c:dPt>
            <c:idx val="4"/>
            <c:bubble3D val="0"/>
            <c:spPr>
              <a:solidFill>
                <a:srgbClr val="009DD9"/>
              </a:solidFill>
              <a:ln w="19050">
                <a:solidFill>
                  <a:sysClr val="window" lastClr="FFFFFF"/>
                </a:solidFill>
              </a:ln>
              <a:effectLst/>
            </c:spPr>
          </c:dPt>
          <c:dLbls>
            <c:dLbl>
              <c:idx val="0"/>
              <c:layout>
                <c:manualLayout>
                  <c:x val="0.152817932769345"/>
                  <c:y val="-0.137243296910625"/>
                </c:manualLayout>
              </c:layou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163929954123905"/>
                  <c:y val="0.159856517935258"/>
                </c:manualLayout>
              </c:layou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217173718612406"/>
                  <c:y val="0.119855555952816"/>
                </c:manualLayout>
              </c:layout>
              <c:showLegendKey val="0"/>
              <c:showVal val="1"/>
              <c:showCatName val="1"/>
              <c:showSerName val="0"/>
              <c:showPercent val="0"/>
              <c:showBubbleSize val="0"/>
              <c:extLst>
                <c:ext xmlns:c15="http://schemas.microsoft.com/office/drawing/2012/chart" uri="{CE6537A1-D6FC-4f65-9D91-7224C49458BB}">
                  <c15:layout>
                    <c:manualLayout>
                      <c:w val="0.312069783797415"/>
                      <c:h val="0.173548477589446"/>
                    </c:manualLayout>
                  </c15:layout>
                </c:ext>
              </c:extLst>
            </c:dLbl>
            <c:dLbl>
              <c:idx val="3"/>
              <c:layout>
                <c:manualLayout>
                  <c:x val="-0.171537049555266"/>
                  <c:y val="0.10519728783902"/>
                </c:manualLayout>
              </c:layout>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0.130000046990347"/>
                  <c:y val="-0.200888886444207"/>
                </c:manualLayout>
              </c:layout>
              <c:tx>
                <c:rich>
                  <a:bodyPr rot="0" spcFirstLastPara="1" vertOverflow="ellipsis" vert="horz" wrap="square" lIns="38100" tIns="19050" rIns="38100" bIns="19050" anchor="ctr" anchorCtr="1"/>
                  <a:lstStyle/>
                  <a:p>
                    <a:fld id="{8593e3bc-69a9-4eba-9a04-72aa65e460f1}" type="CATEGORYNAME">
                      <a:t>[CATEGORY NAME]</a:t>
                    </a:fld>
                    <a:r>
                      <a:t>,</a:t>
                    </a:r>
                    <a:fld id="{3c93a11b-fe6c-4c52-abb3-b69b80e6d7cc}" type="VALUE">
                      <a:t>[VALUE]</a:t>
                    </a:fld>
                    <a:endParaRPr lang="en-US" altLang="zh-CN"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p>
            </c:txPr>
            <c:showLegendKey val="0"/>
            <c:showVal val="1"/>
            <c:showCatName val="1"/>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ysClr val="windowText" lastClr="000000">
                          <a:lumMod val="35000"/>
                          <a:lumOff val="65000"/>
                        </a:sysClr>
                      </a:solidFill>
                      <a:round/>
                    </a:ln>
                    <a:effectLst/>
                  </c:spPr>
                </c15:leaderLines>
              </c:ext>
            </c:extLst>
          </c:dLbls>
          <c:cat>
            <c:strRef>
              <c:f>Sheet1!$A$2:$A$6</c:f>
              <c:strCache>
                <c:ptCount val="5"/>
                <c:pt idx="0">
                  <c:v>很相关</c:v>
                </c:pt>
                <c:pt idx="1">
                  <c:v>相关</c:v>
                </c:pt>
                <c:pt idx="2">
                  <c:v>基本相关</c:v>
                </c:pt>
                <c:pt idx="3">
                  <c:v>不相关</c:v>
                </c:pt>
                <c:pt idx="4">
                  <c:v>很不相关</c:v>
                </c:pt>
              </c:strCache>
            </c:strRef>
          </c:cat>
          <c:val>
            <c:numRef>
              <c:f>Sheet1!$B$2:$B$6</c:f>
              <c:numCache>
                <c:formatCode>0.00%</c:formatCode>
                <c:ptCount val="5"/>
                <c:pt idx="0">
                  <c:v>0.1364</c:v>
                </c:pt>
                <c:pt idx="1">
                  <c:v>0.2273</c:v>
                </c:pt>
                <c:pt idx="2">
                  <c:v>0.1364</c:v>
                </c:pt>
                <c:pt idx="3">
                  <c:v>0.1818</c:v>
                </c:pt>
                <c:pt idx="4">
                  <c:v>0.3182</c:v>
                </c:pt>
              </c:numCache>
            </c:numRef>
          </c:val>
        </c:ser>
        <c:dLbls>
          <c:showLegendKey val="0"/>
          <c:showVal val="1"/>
          <c:showCatName val="0"/>
          <c:showSerName val="0"/>
          <c:showPercent val="0"/>
          <c:showBubbleSize val="0"/>
          <c:showLeaderLines val="0"/>
        </c:dLbls>
        <c:firstSliceAng val="0"/>
        <c:holeSize val="40"/>
      </c:doughnutChart>
      <c:spPr>
        <a:noFill/>
        <a:ln>
          <a:noFill/>
        </a:ln>
        <a:effectLst/>
      </c:spPr>
    </c:plotArea>
    <c:plotVisOnly val="1"/>
    <c:dispBlanksAs val="gap"/>
    <c:showDLblsOverMax val="0"/>
  </c:chart>
  <c:spPr>
    <a:solidFill>
      <a:sysClr val="window" lastClr="FFFFFF"/>
    </a:solidFill>
    <a:ln w="9525" cap="flat" cmpd="sng" algn="ctr">
      <a:solidFill>
        <a:sysClr val="window" lastClr="FFFFFF"/>
      </a:solidFill>
      <a:round/>
    </a:ln>
    <a:effectLst/>
  </c:spPr>
  <c:txPr>
    <a:bodyPr/>
    <a:lstStyle/>
    <a:p>
      <a:pPr>
        <a:defRPr lang="zh-CN">
          <a:solidFill>
            <a:sysClr val="windowText" lastClr="000000"/>
          </a:solidFill>
        </a:defRPr>
      </a:pPr>
    </a:p>
  </c:tx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1376064705818"/>
          <c:y val="0.0497202361763108"/>
          <c:w val="0.610915420337737"/>
          <c:h val="0.825657840004307"/>
        </c:manualLayout>
      </c:layout>
      <c:barChart>
        <c:barDir val="bar"/>
        <c:grouping val="clustered"/>
        <c:varyColors val="0"/>
        <c:ser>
          <c:idx val="0"/>
          <c:order val="0"/>
          <c:tx>
            <c:strRef>
              <c:f>Sheet1!$B$1</c:f>
              <c:strCache>
                <c:ptCount val="1"/>
                <c:pt idx="0">
                  <c:v>占比</c:v>
                </c:pt>
              </c:strCache>
            </c:strRef>
          </c:tx>
          <c:spPr>
            <a:solidFill>
              <a:srgbClr val="0F6FC6"/>
            </a:solidFill>
            <a:ln>
              <a:noFill/>
            </a:ln>
            <a:effectLst/>
          </c:spPr>
          <c:invertIfNegative val="0"/>
          <c:dPt>
            <c:idx val="0"/>
            <c:invertIfNegative val="0"/>
            <c:bubble3D val="0"/>
            <c:spPr>
              <a:solidFill>
                <a:srgbClr val="0F6FC6"/>
              </a:solidFill>
              <a:ln>
                <a:noFill/>
              </a:ln>
              <a:effectLst/>
            </c:spPr>
          </c:dPt>
          <c:dPt>
            <c:idx val="1"/>
            <c:invertIfNegative val="0"/>
            <c:bubble3D val="0"/>
            <c:spPr>
              <a:solidFill>
                <a:srgbClr val="0F6FC6"/>
              </a:solidFill>
              <a:ln>
                <a:noFill/>
              </a:ln>
              <a:effectLst/>
            </c:spPr>
          </c:dPt>
          <c:dPt>
            <c:idx val="2"/>
            <c:invertIfNegative val="0"/>
            <c:bubble3D val="0"/>
            <c:spPr>
              <a:solidFill>
                <a:srgbClr val="0F6FC6"/>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ysClr val="windowText" lastClr="000000">
                          <a:shade val="95000"/>
                          <a:satMod val="105000"/>
                        </a:sysClr>
                      </a:solidFill>
                      <a:prstDash val="solid"/>
                      <a:round/>
                    </a:ln>
                    <a:effectLst/>
                  </c:spPr>
                </c15:leaderLines>
              </c:ext>
            </c:extLst>
          </c:dLbls>
          <c:cat>
            <c:strRef>
              <c:f>Sheet1!$A$2:$A$5</c:f>
              <c:strCache>
                <c:ptCount val="4"/>
                <c:pt idx="0">
                  <c:v>就业前景好</c:v>
                </c:pt>
                <c:pt idx="1">
                  <c:v>容易拿到对方资助</c:v>
                </c:pt>
                <c:pt idx="2">
                  <c:v>符合兴趣爱好</c:v>
                </c:pt>
                <c:pt idx="3">
                  <c:v>容易考上</c:v>
                </c:pt>
              </c:strCache>
            </c:strRef>
          </c:cat>
          <c:val>
            <c:numRef>
              <c:f>Sheet1!$B$2:$B$5</c:f>
              <c:numCache>
                <c:formatCode>0.00%</c:formatCode>
                <c:ptCount val="4"/>
                <c:pt idx="0">
                  <c:v>0.1818</c:v>
                </c:pt>
                <c:pt idx="1">
                  <c:v>0.1818</c:v>
                </c:pt>
                <c:pt idx="2">
                  <c:v>0.2727</c:v>
                </c:pt>
                <c:pt idx="3">
                  <c:v>0.3636</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972182824"/>
        <c:crosses val="autoZero"/>
        <c:auto val="1"/>
        <c:lblAlgn val="ctr"/>
        <c:lblOffset val="100"/>
        <c:noMultiLvlLbl val="0"/>
      </c:catAx>
      <c:valAx>
        <c:axId val="972182824"/>
        <c:scaling>
          <c:orientation val="minMax"/>
          <c:max val="0.5"/>
          <c:min val="0"/>
        </c:scaling>
        <c:delete val="0"/>
        <c:axPos val="b"/>
        <c:numFmt formatCode="0.00%" sourceLinked="1"/>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972182432"/>
        <c:crosses val="autoZero"/>
        <c:crossBetween val="between"/>
        <c:majorUnit val="0.1"/>
      </c:valAx>
      <c:spPr>
        <a:solidFill>
          <a:sysClr val="window" lastClr="FFFFFF"/>
        </a:solidFill>
        <a:ln>
          <a:noFill/>
        </a:ln>
        <a:effectLst/>
      </c:spPr>
    </c:plotArea>
    <c:plotVisOnly val="1"/>
    <c:dispBlanksAs val="gap"/>
    <c:showDLblsOverMax val="0"/>
  </c:chart>
  <c:spPr>
    <a:solidFill>
      <a:sysClr val="window" lastClr="FFFFFF"/>
    </a:solidFill>
    <a:ln w="9525" cap="flat" cmpd="sng" algn="ctr">
      <a:noFill/>
      <a:prstDash val="solid"/>
      <a:round/>
    </a:ln>
    <a:effectLst/>
  </c:spPr>
  <c:txPr>
    <a:bodyPr/>
    <a:lstStyle/>
    <a:p>
      <a:pPr>
        <a:defRPr lang="zh-CN"/>
      </a:pPr>
    </a:p>
  </c:txPr>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818383423990785"/>
          <c:y val="0.0521400869667411"/>
          <c:w val="0.84408756197142"/>
          <c:h val="0.627663650252674"/>
        </c:manualLayout>
      </c:layout>
      <c:barChart>
        <c:barDir val="col"/>
        <c:grouping val="clustered"/>
        <c:varyColors val="0"/>
        <c:ser>
          <c:idx val="0"/>
          <c:order val="0"/>
          <c:tx>
            <c:strRef>
              <c:f>Sheet1!$B$1</c:f>
              <c:strCache>
                <c:ptCount val="1"/>
                <c:pt idx="0">
                  <c:v>本校2020届专科毕业生</c:v>
                </c:pt>
              </c:strCache>
            </c:strRef>
          </c:tx>
          <c:invertIfNegative val="1"/>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c:f>
              <c:strCache>
                <c:ptCount val="1"/>
                <c:pt idx="0">
                  <c:v>自主创业</c:v>
                </c:pt>
              </c:strCache>
            </c:strRef>
          </c:cat>
          <c:val>
            <c:numRef>
              <c:f>Sheet1!$B$2</c:f>
              <c:numCache>
                <c:formatCode>0.00%</c:formatCode>
                <c:ptCount val="1"/>
                <c:pt idx="0">
                  <c:v>0.0477</c:v>
                </c:pt>
              </c:numCache>
            </c:numRef>
          </c:val>
        </c:ser>
        <c:ser>
          <c:idx val="1"/>
          <c:order val="1"/>
          <c:tx>
            <c:strRef>
              <c:f>Sheet1!$C$1</c:f>
              <c:strCache>
                <c:ptCount val="1"/>
                <c:pt idx="0">
                  <c:v>本校2021届专科毕业生</c:v>
                </c:pt>
              </c:strCache>
            </c:strRef>
          </c:tx>
          <c:invertIfNegative val="1"/>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c:f>
              <c:strCache>
                <c:ptCount val="1"/>
                <c:pt idx="0">
                  <c:v>自主创业</c:v>
                </c:pt>
              </c:strCache>
            </c:strRef>
          </c:cat>
          <c:val>
            <c:numRef>
              <c:f>Sheet1!$C$2</c:f>
              <c:numCache>
                <c:formatCode>0.00%</c:formatCode>
                <c:ptCount val="1"/>
                <c:pt idx="0">
                  <c:v>0.0292</c:v>
                </c:pt>
              </c:numCache>
            </c:numRef>
          </c:val>
        </c:ser>
        <c:ser>
          <c:idx val="2"/>
          <c:order val="2"/>
          <c:tx>
            <c:strRef>
              <c:f>Sheet1!$D$1</c:f>
              <c:strCache>
                <c:ptCount val="1"/>
                <c:pt idx="0">
                  <c:v>本校2022届专科毕业生</c:v>
                </c:pt>
              </c:strCache>
            </c:strRef>
          </c:tx>
          <c:spPr>
            <a:solidFill>
              <a:srgbClr val="1F497D">
                <a:lumMod val="20000"/>
                <a:lumOff val="80000"/>
              </a:srgb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c:f>
              <c:strCache>
                <c:ptCount val="1"/>
                <c:pt idx="0">
                  <c:v>自主创业</c:v>
                </c:pt>
              </c:strCache>
            </c:strRef>
          </c:cat>
          <c:val>
            <c:numRef>
              <c:f>Sheet1!$D$2</c:f>
              <c:numCache>
                <c:formatCode>0.00%</c:formatCode>
                <c:ptCount val="1"/>
                <c:pt idx="0">
                  <c:v>0.0271</c:v>
                </c:pt>
              </c:numCache>
            </c:numRef>
          </c:val>
        </c:ser>
        <c:ser>
          <c:idx val="3"/>
          <c:order val="3"/>
          <c:tx>
            <c:strRef>
              <c:f>Sheet1!$E$1</c:f>
              <c:strCache>
                <c:ptCount val="1"/>
                <c:pt idx="0">
                  <c:v>全国高校2022届专科毕业生</c:v>
                </c:pt>
              </c:strCache>
            </c:strRef>
          </c:tx>
          <c:spPr>
            <a:solidFill>
              <a:srgbClr val="1F497D">
                <a:lumMod val="40000"/>
                <a:lumOff val="60000"/>
              </a:srgb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strRef>
              <c:f>Sheet1!$A$2</c:f>
              <c:strCache>
                <c:ptCount val="1"/>
                <c:pt idx="0">
                  <c:v>自主创业</c:v>
                </c:pt>
              </c:strCache>
            </c:strRef>
          </c:cat>
          <c:val>
            <c:numRef>
              <c:f>Sheet1!$E$2</c:f>
              <c:numCache>
                <c:formatCode>0.00%</c:formatCode>
                <c:ptCount val="1"/>
                <c:pt idx="0">
                  <c:v>0.0208</c:v>
                </c:pt>
              </c:numCache>
            </c:numRef>
          </c:val>
        </c:ser>
        <c:dLbls>
          <c:showLegendKey val="0"/>
          <c:showVal val="1"/>
          <c:showCatName val="0"/>
          <c:showSerName val="0"/>
          <c:showPercent val="0"/>
          <c:showBubbleSize val="0"/>
        </c:dLbls>
        <c:gapWidth val="269"/>
        <c:overlap val="-15"/>
        <c:axId val="608998768"/>
        <c:axId val="608999160"/>
      </c:barChart>
      <c:catAx>
        <c:axId val="608998768"/>
        <c:scaling>
          <c:orientation val="minMax"/>
        </c:scaling>
        <c:delete val="0"/>
        <c:axPos val="b"/>
        <c:numFmt formatCode="General" sourceLinked="1"/>
        <c:majorTickMark val="none"/>
        <c:minorTickMark val="none"/>
        <c:tickLblPos val="nextTo"/>
        <c:spPr>
          <a:noFill/>
          <a:ln w="12700" cap="flat" cmpd="sng" algn="ctr">
            <a:solidFill>
              <a:sysClr val="window" lastClr="FFFFFF">
                <a:lumMod val="50000"/>
              </a:sysClr>
            </a:solidFill>
            <a:prstDash val="solid"/>
            <a:round/>
          </a:ln>
        </c:spPr>
        <c:txPr>
          <a:bodyPr rot="0" spcFirstLastPara="1" vertOverflow="ellipsis" vert="horz" wrap="square" anchor="ctr" anchorCtr="1"/>
          <a:lstStyle/>
          <a:p>
            <a:pPr>
              <a:defRPr lang="zh-CN" sz="900" b="0" i="0" u="none" strike="noStrike" kern="1200" baseline="0">
                <a:solidFill>
                  <a:sysClr val="window" lastClr="FFFFFF"/>
                </a:solidFill>
                <a:latin typeface="+mn-lt"/>
                <a:ea typeface="+mn-ea"/>
                <a:cs typeface="+mn-cs"/>
              </a:defRPr>
            </a:pPr>
          </a:p>
        </c:txPr>
        <c:crossAx val="608999160"/>
        <c:crosses val="autoZero"/>
        <c:auto val="1"/>
        <c:lblAlgn val="ctr"/>
        <c:lblOffset val="100"/>
        <c:noMultiLvlLbl val="0"/>
      </c:catAx>
      <c:valAx>
        <c:axId val="608999160"/>
        <c:scaling>
          <c:orientation val="minMax"/>
          <c:min val="0"/>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608998768"/>
        <c:crosses val="autoZero"/>
        <c:crossBetween val="between"/>
      </c:valAx>
      <c:spPr>
        <a:noFill/>
        <a:ln>
          <a:noFill/>
        </a:ln>
      </c:spPr>
    </c:plotArea>
    <c:legend>
      <c:legendPos val="b"/>
      <c:layout>
        <c:manualLayout>
          <c:xMode val="edge"/>
          <c:yMode val="edge"/>
          <c:x val="0.163647986912258"/>
          <c:y val="0.738456536216555"/>
          <c:w val="0.671650521296778"/>
          <c:h val="0.160448936420261"/>
        </c:manualLayout>
      </c:layout>
      <c:overlay val="0"/>
      <c:spPr>
        <a:noFill/>
        <a:ln>
          <a:noFill/>
        </a:ln>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gap"/>
    <c:showDLblsOverMax val="0"/>
  </c:chart>
  <c:spPr>
    <a:solidFill>
      <a:sysClr val="window" lastClr="FFFFFF"/>
    </a:solidFill>
    <a:ln w="9525" cap="flat" cmpd="sng" algn="ctr">
      <a:noFill/>
      <a:prstDash val="solid"/>
      <a:round/>
    </a:ln>
  </c:spPr>
  <c:txPr>
    <a:bodyPr/>
    <a:lstStyle/>
    <a:p>
      <a:pPr>
        <a:defRPr lang="zh-CN">
          <a:solidFill>
            <a:sysClr val="windowText" lastClr="000000"/>
          </a:solidFill>
        </a:defRPr>
      </a:pPr>
    </a:p>
  </c:txPr>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0686453165896"/>
          <c:y val="0.0497202361763108"/>
          <c:w val="0.461605031877658"/>
          <c:h val="0.86279794412885"/>
        </c:manualLayout>
      </c:layout>
      <c:barChart>
        <c:barDir val="bar"/>
        <c:grouping val="clustered"/>
        <c:varyColors val="0"/>
        <c:ser>
          <c:idx val="0"/>
          <c:order val="0"/>
          <c:tx>
            <c:strRef>
              <c:f>Sheet1!$B$1</c:f>
              <c:strCache>
                <c:ptCount val="1"/>
                <c:pt idx="0">
                  <c:v>占比</c:v>
                </c:pt>
              </c:strCache>
            </c:strRef>
          </c:tx>
          <c:spPr>
            <a:solidFill>
              <a:srgbClr val="0F6FC6"/>
            </a:solidFill>
            <a:ln>
              <a:noFill/>
            </a:ln>
            <a:effectLst/>
          </c:spPr>
          <c:invertIfNegative val="0"/>
          <c:dPt>
            <c:idx val="0"/>
            <c:invertIfNegative val="0"/>
            <c:bubble3D val="0"/>
            <c:spPr>
              <a:solidFill>
                <a:srgbClr val="0F6FC6"/>
              </a:solidFill>
              <a:ln>
                <a:noFill/>
              </a:ln>
              <a:effectLst/>
            </c:spPr>
          </c:dPt>
          <c:dPt>
            <c:idx val="1"/>
            <c:invertIfNegative val="0"/>
            <c:bubble3D val="0"/>
            <c:spPr>
              <a:solidFill>
                <a:srgbClr val="0F6FC6"/>
              </a:solidFill>
              <a:ln>
                <a:noFill/>
              </a:ln>
              <a:effectLst/>
            </c:spPr>
          </c:dPt>
          <c:dPt>
            <c:idx val="2"/>
            <c:invertIfNegative val="0"/>
            <c:bubble3D val="0"/>
            <c:spPr>
              <a:solidFill>
                <a:srgbClr val="0F6FC6"/>
              </a:solidFill>
              <a:ln>
                <a:noFill/>
              </a:ln>
              <a:effectLst/>
            </c:spPr>
          </c:dPt>
          <c:dPt>
            <c:idx val="11"/>
            <c:invertIfNegative val="0"/>
            <c:bubble3D val="0"/>
            <c:spPr>
              <a:solidFill>
                <a:srgbClr val="0F6FC6"/>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ysClr val="windowText" lastClr="000000">
                          <a:shade val="95000"/>
                          <a:satMod val="105000"/>
                        </a:sysClr>
                      </a:solidFill>
                      <a:prstDash val="solid"/>
                      <a:round/>
                    </a:ln>
                    <a:effectLst/>
                  </c:spPr>
                </c15:leaderLines>
              </c:ext>
            </c:extLst>
          </c:dLbls>
          <c:cat>
            <c:strRef>
              <c:f>Sheet1!$A$2:$A$13</c:f>
              <c:strCache>
                <c:ptCount val="12"/>
                <c:pt idx="0">
                  <c:v>卫生和社会工作</c:v>
                </c:pt>
                <c:pt idx="1">
                  <c:v>采矿业</c:v>
                </c:pt>
                <c:pt idx="2">
                  <c:v>房地产业</c:v>
                </c:pt>
                <c:pt idx="3">
                  <c:v>信息传输、软件和信息技术服务业</c:v>
                </c:pt>
                <c:pt idx="4">
                  <c:v>农、林、牧、渔业</c:v>
                </c:pt>
                <c:pt idx="5">
                  <c:v>科学研究和技术服务业</c:v>
                </c:pt>
                <c:pt idx="6">
                  <c:v>教育</c:v>
                </c:pt>
                <c:pt idx="7">
                  <c:v>文化、体育和娱乐业</c:v>
                </c:pt>
                <c:pt idx="8">
                  <c:v>租赁和商务服务业</c:v>
                </c:pt>
                <c:pt idx="9">
                  <c:v>制造业</c:v>
                </c:pt>
                <c:pt idx="10">
                  <c:v>批发和零售业</c:v>
                </c:pt>
                <c:pt idx="11">
                  <c:v>住宿和餐饮业</c:v>
                </c:pt>
              </c:strCache>
            </c:strRef>
          </c:cat>
          <c:val>
            <c:numRef>
              <c:f>Sheet1!$B$2:$B$13</c:f>
              <c:numCache>
                <c:formatCode>0.00%</c:formatCode>
                <c:ptCount val="12"/>
                <c:pt idx="0">
                  <c:v>0.0222</c:v>
                </c:pt>
                <c:pt idx="1">
                  <c:v>0.0222</c:v>
                </c:pt>
                <c:pt idx="2">
                  <c:v>0.0222</c:v>
                </c:pt>
                <c:pt idx="3">
                  <c:v>0.0222</c:v>
                </c:pt>
                <c:pt idx="4">
                  <c:v>0.0222</c:v>
                </c:pt>
                <c:pt idx="5">
                  <c:v>0.0444</c:v>
                </c:pt>
                <c:pt idx="6">
                  <c:v>0.0444</c:v>
                </c:pt>
                <c:pt idx="7">
                  <c:v>0.0889</c:v>
                </c:pt>
                <c:pt idx="8">
                  <c:v>0.0889</c:v>
                </c:pt>
                <c:pt idx="9">
                  <c:v>0.1111</c:v>
                </c:pt>
                <c:pt idx="10">
                  <c:v>0.2444</c:v>
                </c:pt>
                <c:pt idx="11">
                  <c:v>0.2667</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972182824"/>
        <c:crosses val="autoZero"/>
        <c:auto val="1"/>
        <c:lblAlgn val="ctr"/>
        <c:lblOffset val="100"/>
        <c:noMultiLvlLbl val="0"/>
      </c:catAx>
      <c:valAx>
        <c:axId val="972182824"/>
        <c:scaling>
          <c:orientation val="minMax"/>
          <c:max val="0.3"/>
          <c:min val="0"/>
        </c:scaling>
        <c:delete val="0"/>
        <c:axPos val="b"/>
        <c:numFmt formatCode="0.00%" sourceLinked="1"/>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972182432"/>
        <c:crosses val="autoZero"/>
        <c:crossBetween val="between"/>
        <c:majorUnit val="0.1"/>
      </c:valAx>
      <c:spPr>
        <a:solidFill>
          <a:sysClr val="window" lastClr="FFFFFF"/>
        </a:solidFill>
        <a:ln>
          <a:noFill/>
        </a:ln>
        <a:effectLst/>
      </c:spPr>
    </c:plotArea>
    <c:plotVisOnly val="1"/>
    <c:dispBlanksAs val="gap"/>
    <c:showDLblsOverMax val="0"/>
  </c:chart>
  <c:spPr>
    <a:solidFill>
      <a:sysClr val="window" lastClr="FFFFFF"/>
    </a:solidFill>
    <a:ln w="9525" cap="flat" cmpd="sng" algn="ctr">
      <a:noFill/>
      <a:prstDash val="solid"/>
      <a:round/>
    </a:ln>
    <a:effectLst/>
  </c:spPr>
  <c:txPr>
    <a:bodyPr/>
    <a:lstStyle/>
    <a:p>
      <a:pPr>
        <a:defRPr lang="zh-CN"/>
      </a:pPr>
    </a:p>
  </c:txPr>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9993505966393"/>
          <c:y val="0.167123451673804"/>
          <c:w val="0.39121600779284"/>
          <c:h val="0.733293773060976"/>
        </c:manualLayout>
      </c:layout>
      <c:pieChart>
        <c:varyColors val="1"/>
        <c:ser>
          <c:idx val="0"/>
          <c:order val="0"/>
          <c:tx>
            <c:strRef>
              <c:f>Sheet1!$B$1</c:f>
              <c:strCache>
                <c:ptCount val="1"/>
                <c:pt idx="0">
                  <c:v>占比</c:v>
                </c:pt>
              </c:strCache>
            </c:strRef>
          </c:tx>
          <c:explosion val="0"/>
          <c:dPt>
            <c:idx val="0"/>
            <c:bubble3D val="0"/>
            <c:spPr>
              <a:solidFill>
                <a:srgbClr val="0F6FC6"/>
              </a:solidFill>
              <a:ln w="19050">
                <a:solidFill>
                  <a:sysClr val="window" lastClr="FFFFFF"/>
                </a:solidFill>
              </a:ln>
              <a:effectLst/>
            </c:spPr>
          </c:dPt>
          <c:dPt>
            <c:idx val="1"/>
            <c:bubble3D val="0"/>
            <c:spPr>
              <a:solidFill>
                <a:srgbClr val="009DD9"/>
              </a:solidFill>
              <a:ln w="19050">
                <a:solidFill>
                  <a:sysClr val="window" lastClr="FFFFFF"/>
                </a:solidFill>
              </a:ln>
              <a:effectLst/>
            </c:spPr>
          </c:dPt>
          <c:dPt>
            <c:idx val="2"/>
            <c:bubble3D val="0"/>
            <c:spPr>
              <a:solidFill>
                <a:srgbClr val="1F497D">
                  <a:lumMod val="60000"/>
                  <a:lumOff val="40000"/>
                </a:srgbClr>
              </a:solidFill>
              <a:ln w="19050">
                <a:solidFill>
                  <a:sysClr val="window" lastClr="FFFFFF"/>
                </a:solidFill>
              </a:ln>
              <a:effectLst/>
            </c:spPr>
          </c:dPt>
          <c:dPt>
            <c:idx val="3"/>
            <c:bubble3D val="0"/>
            <c:spPr>
              <a:solidFill>
                <a:srgbClr val="4F81BD">
                  <a:lumMod val="20000"/>
                  <a:lumOff val="80000"/>
                </a:srgbClr>
              </a:solidFill>
              <a:ln w="19050">
                <a:solidFill>
                  <a:sysClr val="window" lastClr="FFFFFF"/>
                </a:solidFill>
              </a:ln>
              <a:effectLst/>
            </c:spPr>
          </c:dPt>
          <c:dPt>
            <c:idx val="4"/>
            <c:bubble3D val="0"/>
            <c:spPr>
              <a:solidFill>
                <a:srgbClr val="4F81BD">
                  <a:lumMod val="60000"/>
                  <a:lumOff val="40000"/>
                </a:srgbClr>
              </a:solidFill>
              <a:ln w="19050">
                <a:solidFill>
                  <a:sysClr val="window" lastClr="FFFFFF"/>
                </a:solidFill>
              </a:ln>
              <a:effectLst/>
            </c:spPr>
          </c:dPt>
          <c:dLbls>
            <c:dLbl>
              <c:idx val="0"/>
              <c:layout>
                <c:manualLayout>
                  <c:x val="-0.0977795275590551"/>
                  <c:y val="-0.00805619406269871"/>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0133148356455442"/>
                  <c:y val="0.0211734402764872"/>
                </c:manualLayout>
              </c:layout>
              <c:tx>
                <c:rich>
                  <a:bodyPr rot="0" spcFirstLastPara="1" vertOverflow="clip" vert="horz" wrap="square" lIns="36576" tIns="18288" rIns="36576" bIns="18288" anchor="ctr" anchorCtr="1"/>
                  <a:lstStyle/>
                  <a:p>
                    <a:fld id="{374ce0ab-5555-40fc-b4e7-47821c8c348d}" type="CATEGORYNAME">
                      <a:t>[CATEGORY NAME]</a:t>
                    </a:fld>
                    <a:r>
                      <a:t>,</a:t>
                    </a:r>
                    <a:fld id="{51ad5ab6-8646-44be-94d8-b25d6639ddab}" type="VALUE">
                      <a:t>[VALUE]</a:t>
                    </a:fld>
                    <a:endParaRPr lang="en-US" altLang="zh-CN" b="0" i="0" u="none" strike="noStrike" baseline="0">
                      <a:latin typeface="Times New Roman" panose="02020603050405020304" charset="0"/>
                      <a:ea typeface="Times New Roman" panose="02020603050405020304" charset="0"/>
                      <a:cs typeface="+mn-ea"/>
                    </a:endParaRPr>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00590091187055226"/>
                  <c:y val="-0.0459199622519095"/>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00687285223367698"/>
                  <c:y val="0.0673912530596597"/>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0.00120459942507187"/>
                  <c:y val="0.0419299489737696"/>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clip" horzOverflow="clip" vert="horz" wrap="square" lIns="36576" tIns="18288" rIns="36576" bIns="18288" anchor="ctr" anchorCtr="1">
                <a:spAutoFit/>
              </a:bodyPr>
              <a:lstStyle/>
              <a:p>
                <a:pPr>
                  <a:defRPr lang="zh-CN" sz="900" b="0" i="0" u="none" strike="noStrike" kern="1200" baseline="0">
                    <a:solidFill>
                      <a:sysClr val="windowText" lastClr="000000"/>
                    </a:solidFill>
                    <a:latin typeface="+mn-lt"/>
                    <a:ea typeface="+mn-ea"/>
                    <a:cs typeface="+mn-cs"/>
                  </a:defRPr>
                </a:pPr>
              </a:p>
            </c:txPr>
            <c:dLblPos val="bestFit"/>
            <c:showLegendKey val="0"/>
            <c:showVal val="1"/>
            <c:showCatName val="1"/>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有很大帮助</c:v>
                </c:pt>
                <c:pt idx="1">
                  <c:v>有较大帮助</c:v>
                </c:pt>
                <c:pt idx="2">
                  <c:v>有一些帮助</c:v>
                </c:pt>
                <c:pt idx="3">
                  <c:v>基本没帮助</c:v>
                </c:pt>
                <c:pt idx="4">
                  <c:v>完全没帮助</c:v>
                </c:pt>
              </c:strCache>
            </c:strRef>
          </c:cat>
          <c:val>
            <c:numRef>
              <c:f>Sheet1!$B$2:$B$6</c:f>
              <c:numCache>
                <c:formatCode>0.00%</c:formatCode>
                <c:ptCount val="5"/>
                <c:pt idx="0">
                  <c:v>0.1136</c:v>
                </c:pt>
                <c:pt idx="1">
                  <c:v>0.0682</c:v>
                </c:pt>
                <c:pt idx="2">
                  <c:v>0.4773</c:v>
                </c:pt>
                <c:pt idx="3">
                  <c:v>0.1591</c:v>
                </c:pt>
                <c:pt idx="4">
                  <c:v>0.1818</c:v>
                </c:pt>
              </c:numCache>
            </c:numRef>
          </c:val>
        </c:ser>
        <c:dLbls>
          <c:showLegendKey val="0"/>
          <c:showVal val="0"/>
          <c:showCatName val="0"/>
          <c:showSerName val="0"/>
          <c:showPercent val="0"/>
          <c:showBubbleSize val="0"/>
          <c:showLeaderLines val="0"/>
        </c:dLbls>
        <c:firstSliceAng val="0"/>
      </c:pieChart>
      <c:spPr>
        <a:noFill/>
        <a:ln>
          <a:noFill/>
        </a:ln>
      </c:spPr>
    </c:plotArea>
    <c:plotVisOnly val="1"/>
    <c:dispBlanksAs val="gap"/>
    <c:showDLblsOverMax val="0"/>
  </c:chart>
  <c:spPr>
    <a:solidFill>
      <a:sysClr val="window" lastClr="FFFFFF"/>
    </a:solidFill>
    <a:ln w="9525" cap="flat" cmpd="sng" algn="ctr">
      <a:solidFill>
        <a:sysClr val="window" lastClr="FFFFFF"/>
      </a:solidFill>
      <a:prstDash val="solid"/>
      <a:round/>
    </a:ln>
  </c:spPr>
  <c:txPr>
    <a:bodyPr/>
    <a:lstStyle/>
    <a:p>
      <a:pPr>
        <a:defRPr lang="zh-CN">
          <a:solidFill>
            <a:sysClr val="windowText" lastClr="000000"/>
          </a:solidFill>
        </a:defRPr>
      </a:pPr>
    </a:p>
  </c:txPr>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0686453165896"/>
          <c:y val="0.0497202361763108"/>
          <c:w val="0.461605031877658"/>
          <c:h val="0.825657840004307"/>
        </c:manualLayout>
      </c:layout>
      <c:barChart>
        <c:barDir val="bar"/>
        <c:grouping val="clustered"/>
        <c:varyColors val="0"/>
        <c:ser>
          <c:idx val="0"/>
          <c:order val="0"/>
          <c:tx>
            <c:strRef>
              <c:f>Sheet1!$B$1</c:f>
              <c:strCache>
                <c:ptCount val="1"/>
                <c:pt idx="0">
                  <c:v>1</c:v>
                </c:pt>
              </c:strCache>
            </c:strRef>
          </c:tx>
          <c:spPr>
            <a:solidFill>
              <a:srgbClr val="0F6FC6"/>
            </a:solidFill>
            <a:ln>
              <a:noFill/>
            </a:ln>
            <a:effectLst/>
          </c:spPr>
          <c:invertIfNegative val="0"/>
          <c:dPt>
            <c:idx val="0"/>
            <c:invertIfNegative val="0"/>
            <c:bubble3D val="0"/>
            <c:spPr>
              <a:solidFill>
                <a:srgbClr val="0F6FC6"/>
              </a:solidFill>
              <a:ln>
                <a:noFill/>
              </a:ln>
              <a:effectLst/>
            </c:spPr>
          </c:dPt>
          <c:dPt>
            <c:idx val="1"/>
            <c:invertIfNegative val="0"/>
            <c:bubble3D val="0"/>
            <c:spPr>
              <a:solidFill>
                <a:srgbClr val="0F6FC6"/>
              </a:solidFill>
              <a:ln>
                <a:noFill/>
              </a:ln>
              <a:effectLst/>
            </c:spPr>
          </c:dPt>
          <c:dPt>
            <c:idx val="2"/>
            <c:invertIfNegative val="0"/>
            <c:bubble3D val="0"/>
            <c:spPr>
              <a:solidFill>
                <a:srgbClr val="0F6FC6"/>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ysClr val="windowText" lastClr="000000">
                          <a:shade val="95000"/>
                          <a:satMod val="105000"/>
                        </a:sysClr>
                      </a:solidFill>
                      <a:prstDash val="solid"/>
                      <a:round/>
                    </a:ln>
                    <a:effectLst/>
                  </c:spPr>
                </c15:leaderLines>
              </c:ext>
            </c:extLst>
          </c:dLbls>
          <c:cat>
            <c:strRef>
              <c:f>Sheet1!$A$2:$A$8</c:f>
              <c:strCache>
                <c:ptCount val="7"/>
                <c:pt idx="0">
                  <c:v>其他</c:v>
                </c:pt>
                <c:pt idx="1">
                  <c:v>家庭不支持</c:v>
                </c:pt>
                <c:pt idx="2">
                  <c:v>团队组建或管理问题</c:v>
                </c:pt>
                <c:pt idx="3">
                  <c:v>缺乏指导</c:v>
                </c:pt>
                <c:pt idx="4">
                  <c:v>产品问题</c:v>
                </c:pt>
                <c:pt idx="5">
                  <c:v>市场推广</c:v>
                </c:pt>
                <c:pt idx="6">
                  <c:v>资金问题</c:v>
                </c:pt>
              </c:strCache>
            </c:strRef>
          </c:cat>
          <c:val>
            <c:numRef>
              <c:f>Sheet1!$B$2:$B$8</c:f>
              <c:numCache>
                <c:formatCode>0.00%</c:formatCode>
                <c:ptCount val="7"/>
                <c:pt idx="0">
                  <c:v>0.0444</c:v>
                </c:pt>
                <c:pt idx="1">
                  <c:v>0.0444</c:v>
                </c:pt>
                <c:pt idx="2">
                  <c:v>0.0889</c:v>
                </c:pt>
                <c:pt idx="3">
                  <c:v>0.1111</c:v>
                </c:pt>
                <c:pt idx="4">
                  <c:v>0.1111</c:v>
                </c:pt>
                <c:pt idx="5">
                  <c:v>0.2667</c:v>
                </c:pt>
                <c:pt idx="6">
                  <c:v>0.3333</c:v>
                </c:pt>
              </c:numCache>
            </c:numRef>
          </c:val>
        </c:ser>
        <c:dLbls>
          <c:showLegendKey val="0"/>
          <c:showVal val="0"/>
          <c:showCatName val="0"/>
          <c:showSerName val="0"/>
          <c:showPercent val="0"/>
          <c:showBubbleSize val="0"/>
        </c:dLbls>
        <c:gapWidth val="99"/>
        <c:axId val="972182432"/>
        <c:axId val="972182824"/>
      </c:barChart>
      <c:catAx>
        <c:axId val="972182432"/>
        <c:scaling>
          <c:orientation val="minMax"/>
        </c:scaling>
        <c:delete val="0"/>
        <c:axPos val="l"/>
        <c:numFmt formatCode="General" sourceLinked="0"/>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972182824"/>
        <c:crosses val="autoZero"/>
        <c:auto val="1"/>
        <c:lblAlgn val="ctr"/>
        <c:lblOffset val="100"/>
        <c:noMultiLvlLbl val="0"/>
      </c:catAx>
      <c:valAx>
        <c:axId val="972182824"/>
        <c:scaling>
          <c:orientation val="minMax"/>
          <c:max val="0.35"/>
          <c:min val="0"/>
        </c:scaling>
        <c:delete val="0"/>
        <c:axPos val="b"/>
        <c:numFmt formatCode="0.00%" sourceLinked="1"/>
        <c:majorTickMark val="in"/>
        <c:minorTickMark val="none"/>
        <c:tickLblPos val="nextTo"/>
        <c:spPr>
          <a:noFill/>
          <a:ln w="9525" cap="flat" cmpd="sng" algn="ctr">
            <a:solidFill>
              <a:sysClr val="windowText" lastClr="000000">
                <a:tint val="75000"/>
                <a:shade val="95000"/>
                <a:satMod val="105000"/>
              </a:sysClr>
            </a:solidFill>
            <a:prstDash val="solid"/>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972182432"/>
        <c:crosses val="autoZero"/>
        <c:crossBetween val="between"/>
        <c:majorUnit val="0.1"/>
      </c:valAx>
      <c:spPr>
        <a:solidFill>
          <a:sysClr val="window" lastClr="FFFFFF"/>
        </a:solidFill>
        <a:ln>
          <a:noFill/>
        </a:ln>
        <a:effectLst/>
      </c:spPr>
    </c:plotArea>
    <c:plotVisOnly val="1"/>
    <c:dispBlanksAs val="gap"/>
    <c:showDLblsOverMax val="0"/>
  </c:chart>
  <c:spPr>
    <a:solidFill>
      <a:sysClr val="window" lastClr="FFFFFF"/>
    </a:solidFill>
    <a:ln w="9525" cap="flat" cmpd="sng" algn="ctr">
      <a:noFill/>
      <a:prstDash val="solid"/>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7">
  <cs:axisTitle>
    <cs:lnRef idx="0"/>
    <cs:fillRef idx="0"/>
    <cs:effectRef idx="0"/>
    <cs:fontRef idx="minor">
      <a:sysClr val="windowText" lastClr="000000"/>
    </cs:fontRef>
    <cs:defRPr sz="1000" b="1" kern="1200"/>
  </cs:axisTitle>
  <cs:categoryAxis>
    <cs:lnRef idx="1">
      <a:sysClr val="windowText" lastClr="000000">
        <a:tint val="75000"/>
      </a:sysClr>
    </cs:lnRef>
    <cs:fillRef idx="0"/>
    <cs:effectRef idx="0"/>
    <cs:fontRef idx="minor">
      <a:sysClr val="windowText" lastClr="000000"/>
    </cs:fontRef>
    <cs:spPr>
      <a:ln>
        <a:round/>
      </a:ln>
    </cs:spPr>
    <cs:defRPr sz="1000" kern="1200"/>
  </cs:categoryAxis>
  <cs:chartArea mods="allowNoFillOverride allowNoLineOverride">
    <cs:lnRef idx="1">
      <a:sysClr val="windowText" lastClr="000000">
        <a:tint val="75000"/>
      </a:sysClr>
    </cs:lnRef>
    <cs:fillRef idx="1">
      <a:sysClr val="window" lastClr="FFFFFF"/>
    </cs:fillRef>
    <cs:effectRef idx="0"/>
    <cs:fontRef idx="minor">
      <a:sysClr val="windowText" lastClr="000000"/>
    </cs:fontRef>
    <cs:spPr>
      <a:ln>
        <a:round/>
      </a:ln>
    </cs:spPr>
    <cs:defRPr sz="1000" kern="1200"/>
  </cs:chartArea>
  <cs:dataLabel>
    <cs:lnRef idx="0"/>
    <cs:fillRef idx="0"/>
    <cs:effectRef idx="0"/>
    <cs:fontRef idx="minor">
      <a:sysClr val="windowText" lastClr="000000"/>
    </cs:fontRef>
    <cs:defRPr sz="1000" kern="1200"/>
  </cs:dataLabel>
  <cs:dataLabelCallout>
    <cs:lnRef idx="0"/>
    <cs:fillRef idx="0"/>
    <cs:effectRef idx="0"/>
    <cs:fontRef idx="minor">
      <a:sysClr val="windowText" lastClr="000000"/>
    </cs:fontRef>
    <cs:spPr>
      <a:solidFill>
        <a:sysClr val="window" lastClr="FFFFFF"/>
      </a:solidFill>
      <a:ln>
        <a:solidFill>
          <a:sysClr val="windowText" lastClr="000000">
            <a:lumMod val="65000"/>
            <a:lumOff val="35000"/>
          </a:sysClr>
        </a:solidFill>
      </a:ln>
    </cs:spPr>
    <cs:defRPr sz="1000" kern="1200"/>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1">
      <cs:styleClr val="auto"/>
    </cs:lnRef>
    <cs:lineWidthScale>3</cs:lineWidthScale>
    <cs:fillRef idx="0"/>
    <cs:effectRef idx="0"/>
    <cs:fontRef idx="minor">
      <a:sysClr val="windowText" lastClr="000000"/>
    </cs:fontRef>
    <cs:spPr>
      <a:ln cap="rnd">
        <a:round/>
      </a:ln>
    </cs:spPr>
  </cs:dataPointLine>
  <cs:dataPointMarker>
    <cs:lnRef idx="1">
      <cs:styleClr val="auto"/>
    </cs:lnRef>
    <cs:fillRef idx="1">
      <cs:styleClr val="auto"/>
    </cs:fillRef>
    <cs:effectRef idx="0"/>
    <cs:fontRef idx="minor">
      <a:sysClr val="windowText" lastClr="000000"/>
    </cs:fontRef>
    <cs:spPr>
      <a:ln>
        <a:round/>
      </a:ln>
    </cs:spPr>
  </cs:dataPointMarker>
  <cs:dataPointMarkerLayout/>
  <cs:dataPointWireframe>
    <cs:lnRef idx="1">
      <cs:styleClr val="auto"/>
    </cs:lnRef>
    <cs:fillRef idx="0"/>
    <cs:effectRef idx="0"/>
    <cs:fontRef idx="minor">
      <a:sysClr val="windowText" lastClr="000000"/>
    </cs:fontRef>
    <cs:spPr>
      <a:ln>
        <a:round/>
      </a:ln>
    </cs:spPr>
  </cs:dataPointWireframe>
  <cs:dataTable>
    <cs:lnRef idx="1">
      <a:sysClr val="windowText" lastClr="000000">
        <a:tint val="75000"/>
      </a:sysClr>
    </cs:lnRef>
    <cs:fillRef idx="0"/>
    <cs:effectRef idx="0"/>
    <cs:fontRef idx="minor">
      <a:sysClr val="windowText" lastClr="000000"/>
    </cs:fontRef>
    <cs:spPr>
      <a:ln>
        <a:round/>
      </a:ln>
    </cs:spPr>
    <cs:defRPr sz="1000" kern="1200"/>
  </cs:dataTable>
  <cs:downBar>
    <cs:lnRef idx="1">
      <a:sysClr val="windowText" lastClr="000000"/>
    </cs:lnRef>
    <cs:fillRef idx="1" mods="ignoreCSTransforms">
      <cs:styleClr val="0">
        <a:shade val="25000"/>
      </cs:styleClr>
    </cs:fillRef>
    <cs:effectRef idx="0"/>
    <cs:fontRef idx="minor">
      <a:sysClr val="windowText" lastClr="000000"/>
    </cs:fontRef>
    <cs:spPr>
      <a:ln>
        <a:round/>
      </a:ln>
    </cs:spPr>
  </cs:downBar>
  <cs:dropLine>
    <cs:lnRef idx="1">
      <a:sysClr val="windowText" lastClr="000000"/>
    </cs:lnRef>
    <cs:fillRef idx="0"/>
    <cs:effectRef idx="0"/>
    <cs:fontRef idx="minor">
      <a:sysClr val="windowText" lastClr="000000"/>
    </cs:fontRef>
    <cs:spPr>
      <a:ln>
        <a:round/>
      </a:ln>
    </cs:spPr>
  </cs:dropLine>
  <cs:errorBar>
    <cs:lnRef idx="1">
      <a:sysClr val="windowText" lastClr="000000"/>
    </cs:lnRef>
    <cs:fillRef idx="1">
      <a:sysClr val="windowText" lastClr="000000"/>
    </cs:fillRef>
    <cs:effectRef idx="0"/>
    <cs:fontRef idx="minor">
      <a:sysClr val="windowText" lastClr="000000"/>
    </cs:fontRef>
    <cs:spPr>
      <a:ln>
        <a:round/>
      </a:ln>
    </cs:spPr>
  </cs:errorBar>
  <cs:floor>
    <cs:lnRef idx="1">
      <a:sysClr val="windowText" lastClr="000000">
        <a:tint val="75000"/>
      </a:sysClr>
    </cs:lnRef>
    <cs:fillRef idx="0"/>
    <cs:effectRef idx="0"/>
    <cs:fontRef idx="minor">
      <a:sysClr val="windowText" lastClr="000000"/>
    </cs:fontRef>
    <cs:spPr>
      <a:ln>
        <a:round/>
      </a:ln>
    </cs:spPr>
  </cs:floor>
  <cs:gridlineMajor>
    <cs:lnRef idx="1">
      <a:sysClr val="windowText" lastClr="000000">
        <a:tint val="75000"/>
      </a:sysClr>
    </cs:lnRef>
    <cs:fillRef idx="0"/>
    <cs:effectRef idx="0"/>
    <cs:fontRef idx="minor">
      <a:sysClr val="windowText" lastClr="000000"/>
    </cs:fontRef>
    <cs:spPr>
      <a:ln>
        <a:round/>
      </a:ln>
    </cs:spPr>
  </cs:gridlineMajor>
  <cs:gridlineMinor>
    <cs:lnRef idx="1">
      <a:sysClr val="windowText" lastClr="000000">
        <a:tint val="50000"/>
      </a:sysClr>
    </cs:lnRef>
    <cs:fillRef idx="0"/>
    <cs:effectRef idx="0"/>
    <cs:fontRef idx="minor">
      <a:sysClr val="windowText" lastClr="000000"/>
    </cs:fontRef>
    <cs:spPr>
      <a:ln>
        <a:round/>
      </a:ln>
    </cs:spPr>
  </cs:gridlineMinor>
  <cs:hiLoLine>
    <cs:lnRef idx="1">
      <a:sysClr val="windowText" lastClr="000000"/>
    </cs:lnRef>
    <cs:fillRef idx="0"/>
    <cs:effectRef idx="0"/>
    <cs:fontRef idx="minor">
      <a:sysClr val="windowText" lastClr="000000"/>
    </cs:fontRef>
    <cs:spPr>
      <a:ln>
        <a:round/>
      </a:ln>
    </cs:spPr>
  </cs:hiLoLine>
  <cs:leaderLine>
    <cs:lnRef idx="1">
      <a:sysClr val="windowText" lastClr="000000"/>
    </cs:lnRef>
    <cs:fillRef idx="0"/>
    <cs:effectRef idx="0"/>
    <cs:fontRef idx="minor">
      <a:sysClr val="windowText" lastClr="000000"/>
    </cs:fontRef>
    <cs:spPr>
      <a:ln>
        <a:round/>
      </a:ln>
    </cs:spPr>
  </cs:leaderLine>
  <cs:legend>
    <cs:lnRef idx="0"/>
    <cs:fillRef idx="0"/>
    <cs:effectRef idx="0"/>
    <cs:fontRef idx="minor">
      <a:sysClr val="windowText" lastClr="000000"/>
    </cs:fontRef>
    <cs:defRPr sz="1000" kern="1200"/>
  </cs:legend>
  <cs:plotArea mods="allowNoFillOverride allowNoLineOverride">
    <cs:lnRef idx="0"/>
    <cs:fillRef idx="1">
      <a:sysClr val="window" lastClr="FFFFFF"/>
    </cs:fillRef>
    <cs:effectRef idx="0"/>
    <cs:fontRef idx="minor">
      <a:sysClr val="windowText" lastClr="000000"/>
    </cs:fontRef>
  </cs:plotArea>
  <cs:plotArea3D>
    <cs:lnRef idx="0"/>
    <cs:fillRef idx="0"/>
    <cs:effectRef idx="0"/>
    <cs:fontRef idx="minor">
      <a:sysClr val="windowText" lastClr="000000"/>
    </cs:fontRef>
  </cs:plotArea3D>
  <cs:seriesAxis>
    <cs:lnRef idx="1">
      <a:sysClr val="windowText" lastClr="000000">
        <a:tint val="75000"/>
      </a:sysClr>
    </cs:lnRef>
    <cs:fillRef idx="0"/>
    <cs:effectRef idx="0"/>
    <cs:fontRef idx="minor">
      <a:sysClr val="windowText" lastClr="000000"/>
    </cs:fontRef>
    <cs:spPr>
      <a:ln>
        <a:round/>
      </a:ln>
    </cs:spPr>
    <cs:defRPr sz="1000" kern="1200"/>
  </cs:seriesAxis>
  <cs:seriesLine>
    <cs:lnRef idx="1">
      <a:sysClr val="windowText" lastClr="000000"/>
    </cs:lnRef>
    <cs:fillRef idx="0"/>
    <cs:effectRef idx="0"/>
    <cs:fontRef idx="minor">
      <a:sysClr val="windowText" lastClr="000000"/>
    </cs:fontRef>
    <cs:spPr>
      <a:ln>
        <a:round/>
      </a:ln>
    </cs:spPr>
  </cs:seriesLine>
  <cs:title>
    <cs:lnRef idx="0"/>
    <cs:fillRef idx="0"/>
    <cs:effectRef idx="0"/>
    <cs:fontRef idx="minor">
      <a:sysClr val="windowText" lastClr="000000"/>
    </cs:fontRef>
    <cs:defRPr sz="1800" b="1" kern="1200"/>
  </cs:title>
  <cs:trendline>
    <cs:lnRef idx="1">
      <a:sysClr val="windowText" lastClr="000000"/>
    </cs:lnRef>
    <cs:fillRef idx="0"/>
    <cs:effectRef idx="0"/>
    <cs:fontRef idx="minor">
      <a:sysClr val="windowText" lastClr="000000"/>
    </cs:fontRef>
    <cs:spPr>
      <a:ln cap="rnd">
        <a:round/>
      </a:ln>
    </cs:spPr>
  </cs:trendline>
  <cs:trendlineLabel>
    <cs:lnRef idx="0"/>
    <cs:fillRef idx="0"/>
    <cs:effectRef idx="0"/>
    <cs:fontRef idx="minor">
      <a:sysClr val="windowText" lastClr="000000"/>
    </cs:fontRef>
    <cs:defRPr sz="1000" kern="1200"/>
  </cs:trendlineLabel>
  <cs:upBar>
    <cs:lnRef idx="1">
      <a:sysClr val="windowText" lastClr="000000"/>
    </cs:lnRef>
    <cs:fillRef idx="1" mods="ignoreCSTransforms">
      <cs:styleClr val="0">
        <a:tint val="25000"/>
      </cs:styleClr>
    </cs:fillRef>
    <cs:effectRef idx="0"/>
    <cs:fontRef idx="minor">
      <a:sysClr val="windowText" lastClr="000000"/>
    </cs:fontRef>
    <cs:spPr>
      <a:ln>
        <a:round/>
      </a:ln>
    </cs:spPr>
  </cs:upBar>
  <cs:valueAxis>
    <cs:lnRef idx="1">
      <a:sysClr val="windowText" lastClr="000000">
        <a:tint val="75000"/>
      </a:sysClr>
    </cs:lnRef>
    <cs:fillRef idx="0"/>
    <cs:effectRef idx="0"/>
    <cs:fontRef idx="minor">
      <a:sysClr val="windowText" lastClr="000000"/>
    </cs:fontRef>
    <cs:spPr>
      <a:ln>
        <a:round/>
      </a:ln>
    </cs:spPr>
    <cs:defRPr sz="1000" kern="1200"/>
  </cs:valueAxis>
  <cs:wall>
    <cs:lnRef idx="0"/>
    <cs:fillRef idx="0"/>
    <cs:effectRef idx="0"/>
    <cs:fontRef idx="minor">
      <a:sysClr val="windowText" lastClr="000000"/>
    </cs:fontRef>
  </cs:wall>
</cs:chartStyle>
</file>

<file path=word/charts/style10.xml><?xml version="1.0" encoding="utf-8"?>
<cs:chartStyle xmlns:cs="http://schemas.microsoft.com/office/drawing/2012/chartStyle" xmlns:a="http://schemas.openxmlformats.org/drawingml/2006/main" id="10113">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107">
  <cs:axisTitle>
    <cs:lnRef idx="0"/>
    <cs:fillRef idx="0"/>
    <cs:effectRef idx="0"/>
    <cs:fontRef idx="minor">
      <a:sysClr val="windowText" lastClr="000000"/>
    </cs:fontRef>
    <cs:defRPr sz="1000" b="1" kern="1200"/>
  </cs:axisTitle>
  <cs:categoryAxis>
    <cs:lnRef idx="1">
      <a:sysClr val="windowText" lastClr="000000">
        <a:tint val="75000"/>
      </a:sysClr>
    </cs:lnRef>
    <cs:fillRef idx="0"/>
    <cs:effectRef idx="0"/>
    <cs:fontRef idx="minor">
      <a:sysClr val="windowText" lastClr="000000"/>
    </cs:fontRef>
    <cs:spPr>
      <a:ln>
        <a:round/>
      </a:ln>
    </cs:spPr>
    <cs:defRPr sz="1000" kern="1200"/>
  </cs:categoryAxis>
  <cs:chartArea mods="allowNoFillOverride allowNoLineOverride">
    <cs:lnRef idx="1">
      <a:sysClr val="windowText" lastClr="000000">
        <a:tint val="75000"/>
      </a:sysClr>
    </cs:lnRef>
    <cs:fillRef idx="1">
      <a:sysClr val="window" lastClr="FFFFFF"/>
    </cs:fillRef>
    <cs:effectRef idx="0"/>
    <cs:fontRef idx="minor">
      <a:sysClr val="windowText" lastClr="000000"/>
    </cs:fontRef>
    <cs:spPr>
      <a:ln>
        <a:round/>
      </a:ln>
    </cs:spPr>
    <cs:defRPr sz="1000" kern="1200"/>
  </cs:chartArea>
  <cs:dataLabel>
    <cs:lnRef idx="0"/>
    <cs:fillRef idx="0"/>
    <cs:effectRef idx="0"/>
    <cs:fontRef idx="minor">
      <a:sysClr val="windowText" lastClr="000000"/>
    </cs:fontRef>
    <cs:defRPr sz="1000" kern="1200"/>
  </cs:dataLabel>
  <cs:dataLabelCallout>
    <cs:lnRef idx="0"/>
    <cs:fillRef idx="0"/>
    <cs:effectRef idx="0"/>
    <cs:fontRef idx="minor">
      <a:sysClr val="windowText" lastClr="000000"/>
    </cs:fontRef>
    <cs:spPr>
      <a:solidFill>
        <a:sysClr val="window" lastClr="FFFFFF"/>
      </a:solidFill>
      <a:ln>
        <a:solidFill>
          <a:sysClr val="windowText" lastClr="000000">
            <a:lumMod val="65000"/>
            <a:lumOff val="35000"/>
          </a:sysClr>
        </a:solidFill>
      </a:ln>
    </cs:spPr>
    <cs:defRPr sz="1000" kern="1200"/>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1">
      <cs:styleClr val="auto"/>
    </cs:lnRef>
    <cs:lineWidthScale>3</cs:lineWidthScale>
    <cs:fillRef idx="0"/>
    <cs:effectRef idx="0"/>
    <cs:fontRef idx="minor">
      <a:sysClr val="windowText" lastClr="000000"/>
    </cs:fontRef>
    <cs:spPr>
      <a:ln cap="rnd">
        <a:round/>
      </a:ln>
    </cs:spPr>
  </cs:dataPointLine>
  <cs:dataPointMarker>
    <cs:lnRef idx="1">
      <cs:styleClr val="auto"/>
    </cs:lnRef>
    <cs:fillRef idx="1">
      <cs:styleClr val="auto"/>
    </cs:fillRef>
    <cs:effectRef idx="0"/>
    <cs:fontRef idx="minor">
      <a:sysClr val="windowText" lastClr="000000"/>
    </cs:fontRef>
    <cs:spPr>
      <a:ln>
        <a:round/>
      </a:ln>
    </cs:spPr>
  </cs:dataPointMarker>
  <cs:dataPointMarkerLayout/>
  <cs:dataPointWireframe>
    <cs:lnRef idx="1">
      <cs:styleClr val="auto"/>
    </cs:lnRef>
    <cs:fillRef idx="0"/>
    <cs:effectRef idx="0"/>
    <cs:fontRef idx="minor">
      <a:sysClr val="windowText" lastClr="000000"/>
    </cs:fontRef>
    <cs:spPr>
      <a:ln>
        <a:round/>
      </a:ln>
    </cs:spPr>
  </cs:dataPointWireframe>
  <cs:dataTable>
    <cs:lnRef idx="1">
      <a:sysClr val="windowText" lastClr="000000">
        <a:tint val="75000"/>
      </a:sysClr>
    </cs:lnRef>
    <cs:fillRef idx="0"/>
    <cs:effectRef idx="0"/>
    <cs:fontRef idx="minor">
      <a:sysClr val="windowText" lastClr="000000"/>
    </cs:fontRef>
    <cs:spPr>
      <a:ln>
        <a:round/>
      </a:ln>
    </cs:spPr>
    <cs:defRPr sz="1000" kern="1200"/>
  </cs:dataTable>
  <cs:downBar>
    <cs:lnRef idx="1">
      <a:sysClr val="windowText" lastClr="000000"/>
    </cs:lnRef>
    <cs:fillRef idx="1" mods="ignoreCSTransforms">
      <cs:styleClr val="0">
        <a:shade val="25000"/>
      </cs:styleClr>
    </cs:fillRef>
    <cs:effectRef idx="0"/>
    <cs:fontRef idx="minor">
      <a:sysClr val="windowText" lastClr="000000"/>
    </cs:fontRef>
    <cs:spPr>
      <a:ln>
        <a:round/>
      </a:ln>
    </cs:spPr>
  </cs:downBar>
  <cs:dropLine>
    <cs:lnRef idx="1">
      <a:sysClr val="windowText" lastClr="000000"/>
    </cs:lnRef>
    <cs:fillRef idx="0"/>
    <cs:effectRef idx="0"/>
    <cs:fontRef idx="minor">
      <a:sysClr val="windowText" lastClr="000000"/>
    </cs:fontRef>
    <cs:spPr>
      <a:ln>
        <a:round/>
      </a:ln>
    </cs:spPr>
  </cs:dropLine>
  <cs:errorBar>
    <cs:lnRef idx="1">
      <a:sysClr val="windowText" lastClr="000000"/>
    </cs:lnRef>
    <cs:fillRef idx="1">
      <a:sysClr val="windowText" lastClr="000000"/>
    </cs:fillRef>
    <cs:effectRef idx="0"/>
    <cs:fontRef idx="minor">
      <a:sysClr val="windowText" lastClr="000000"/>
    </cs:fontRef>
    <cs:spPr>
      <a:ln>
        <a:round/>
      </a:ln>
    </cs:spPr>
  </cs:errorBar>
  <cs:floor>
    <cs:lnRef idx="1">
      <a:sysClr val="windowText" lastClr="000000">
        <a:tint val="75000"/>
      </a:sysClr>
    </cs:lnRef>
    <cs:fillRef idx="0"/>
    <cs:effectRef idx="0"/>
    <cs:fontRef idx="minor">
      <a:sysClr val="windowText" lastClr="000000"/>
    </cs:fontRef>
    <cs:spPr>
      <a:ln>
        <a:round/>
      </a:ln>
    </cs:spPr>
  </cs:floor>
  <cs:gridlineMajor>
    <cs:lnRef idx="1">
      <a:sysClr val="windowText" lastClr="000000">
        <a:tint val="75000"/>
      </a:sysClr>
    </cs:lnRef>
    <cs:fillRef idx="0"/>
    <cs:effectRef idx="0"/>
    <cs:fontRef idx="minor">
      <a:sysClr val="windowText" lastClr="000000"/>
    </cs:fontRef>
    <cs:spPr>
      <a:ln>
        <a:round/>
      </a:ln>
    </cs:spPr>
  </cs:gridlineMajor>
  <cs:gridlineMinor>
    <cs:lnRef idx="1">
      <a:sysClr val="windowText" lastClr="000000">
        <a:tint val="50000"/>
      </a:sysClr>
    </cs:lnRef>
    <cs:fillRef idx="0"/>
    <cs:effectRef idx="0"/>
    <cs:fontRef idx="minor">
      <a:sysClr val="windowText" lastClr="000000"/>
    </cs:fontRef>
    <cs:spPr>
      <a:ln>
        <a:round/>
      </a:ln>
    </cs:spPr>
  </cs:gridlineMinor>
  <cs:hiLoLine>
    <cs:lnRef idx="1">
      <a:sysClr val="windowText" lastClr="000000"/>
    </cs:lnRef>
    <cs:fillRef idx="0"/>
    <cs:effectRef idx="0"/>
    <cs:fontRef idx="minor">
      <a:sysClr val="windowText" lastClr="000000"/>
    </cs:fontRef>
    <cs:spPr>
      <a:ln>
        <a:round/>
      </a:ln>
    </cs:spPr>
  </cs:hiLoLine>
  <cs:leaderLine>
    <cs:lnRef idx="1">
      <a:sysClr val="windowText" lastClr="000000"/>
    </cs:lnRef>
    <cs:fillRef idx="0"/>
    <cs:effectRef idx="0"/>
    <cs:fontRef idx="minor">
      <a:sysClr val="windowText" lastClr="000000"/>
    </cs:fontRef>
    <cs:spPr>
      <a:ln>
        <a:round/>
      </a:ln>
    </cs:spPr>
  </cs:leaderLine>
  <cs:legend>
    <cs:lnRef idx="0"/>
    <cs:fillRef idx="0"/>
    <cs:effectRef idx="0"/>
    <cs:fontRef idx="minor">
      <a:sysClr val="windowText" lastClr="000000"/>
    </cs:fontRef>
    <cs:defRPr sz="1000" kern="1200"/>
  </cs:legend>
  <cs:plotArea mods="allowNoFillOverride allowNoLineOverride">
    <cs:lnRef idx="0"/>
    <cs:fillRef idx="1">
      <a:sysClr val="window" lastClr="FFFFFF"/>
    </cs:fillRef>
    <cs:effectRef idx="0"/>
    <cs:fontRef idx="minor">
      <a:sysClr val="windowText" lastClr="000000"/>
    </cs:fontRef>
  </cs:plotArea>
  <cs:plotArea3D>
    <cs:lnRef idx="0"/>
    <cs:fillRef idx="0"/>
    <cs:effectRef idx="0"/>
    <cs:fontRef idx="minor">
      <a:sysClr val="windowText" lastClr="000000"/>
    </cs:fontRef>
  </cs:plotArea3D>
  <cs:seriesAxis>
    <cs:lnRef idx="1">
      <a:sysClr val="windowText" lastClr="000000">
        <a:tint val="75000"/>
      </a:sysClr>
    </cs:lnRef>
    <cs:fillRef idx="0"/>
    <cs:effectRef idx="0"/>
    <cs:fontRef idx="minor">
      <a:sysClr val="windowText" lastClr="000000"/>
    </cs:fontRef>
    <cs:spPr>
      <a:ln>
        <a:round/>
      </a:ln>
    </cs:spPr>
    <cs:defRPr sz="1000" kern="1200"/>
  </cs:seriesAxis>
  <cs:seriesLine>
    <cs:lnRef idx="1">
      <a:sysClr val="windowText" lastClr="000000"/>
    </cs:lnRef>
    <cs:fillRef idx="0"/>
    <cs:effectRef idx="0"/>
    <cs:fontRef idx="minor">
      <a:sysClr val="windowText" lastClr="000000"/>
    </cs:fontRef>
    <cs:spPr>
      <a:ln>
        <a:round/>
      </a:ln>
    </cs:spPr>
  </cs:seriesLine>
  <cs:title>
    <cs:lnRef idx="0"/>
    <cs:fillRef idx="0"/>
    <cs:effectRef idx="0"/>
    <cs:fontRef idx="minor">
      <a:sysClr val="windowText" lastClr="000000"/>
    </cs:fontRef>
    <cs:defRPr sz="1800" b="1" kern="1200"/>
  </cs:title>
  <cs:trendline>
    <cs:lnRef idx="1">
      <a:sysClr val="windowText" lastClr="000000"/>
    </cs:lnRef>
    <cs:fillRef idx="0"/>
    <cs:effectRef idx="0"/>
    <cs:fontRef idx="minor">
      <a:sysClr val="windowText" lastClr="000000"/>
    </cs:fontRef>
    <cs:spPr>
      <a:ln cap="rnd">
        <a:round/>
      </a:ln>
    </cs:spPr>
  </cs:trendline>
  <cs:trendlineLabel>
    <cs:lnRef idx="0"/>
    <cs:fillRef idx="0"/>
    <cs:effectRef idx="0"/>
    <cs:fontRef idx="minor">
      <a:sysClr val="windowText" lastClr="000000"/>
    </cs:fontRef>
    <cs:defRPr sz="1000" kern="1200"/>
  </cs:trendlineLabel>
  <cs:upBar>
    <cs:lnRef idx="1">
      <a:sysClr val="windowText" lastClr="000000"/>
    </cs:lnRef>
    <cs:fillRef idx="1" mods="ignoreCSTransforms">
      <cs:styleClr val="0">
        <a:tint val="25000"/>
      </cs:styleClr>
    </cs:fillRef>
    <cs:effectRef idx="0"/>
    <cs:fontRef idx="minor">
      <a:sysClr val="windowText" lastClr="000000"/>
    </cs:fontRef>
    <cs:spPr>
      <a:ln>
        <a:round/>
      </a:ln>
    </cs:spPr>
  </cs:upBar>
  <cs:valueAxis>
    <cs:lnRef idx="1">
      <a:sysClr val="windowText" lastClr="000000">
        <a:tint val="75000"/>
      </a:sysClr>
    </cs:lnRef>
    <cs:fillRef idx="0"/>
    <cs:effectRef idx="0"/>
    <cs:fontRef idx="minor">
      <a:sysClr val="windowText" lastClr="000000"/>
    </cs:fontRef>
    <cs:spPr>
      <a:ln>
        <a:round/>
      </a:ln>
    </cs:spPr>
    <cs:defRPr sz="1000" kern="1200"/>
  </cs:valueAxis>
  <cs:wall>
    <cs:lnRef idx="0"/>
    <cs:fillRef idx="0"/>
    <cs:effectRef idx="0"/>
    <cs:fontRef idx="minor">
      <a:sysClr val="windowText" lastClr="000000"/>
    </cs:fontRef>
  </cs:wall>
</cs:chartStyle>
</file>

<file path=word/charts/style12.xml><?xml version="1.0" encoding="utf-8"?>
<cs:chartStyle xmlns:cs="http://schemas.microsoft.com/office/drawing/2012/chartStyle" xmlns:a="http://schemas.openxmlformats.org/drawingml/2006/main" id="102">
  <cs:axisTitle>
    <cs:lnRef idx="0"/>
    <cs:fillRef idx="0"/>
    <cs:effectRef idx="0"/>
    <cs:fontRef idx="minor">
      <a:sysClr val="windowText" lastClr="000000"/>
    </cs:fontRef>
    <cs:defRPr sz="1000" b="1" kern="1200"/>
  </cs:axisTitle>
  <cs:categoryAxis>
    <cs:lnRef idx="1">
      <a:sysClr val="windowText" lastClr="000000">
        <a:tint val="75000"/>
      </a:sysClr>
    </cs:lnRef>
    <cs:fillRef idx="0"/>
    <cs:effectRef idx="0"/>
    <cs:fontRef idx="minor">
      <a:sysClr val="windowText" lastClr="000000"/>
    </cs:fontRef>
    <cs:spPr>
      <a:ln>
        <a:round/>
      </a:ln>
    </cs:spPr>
    <cs:defRPr sz="1000" kern="1200"/>
  </cs:categoryAxis>
  <cs:chartArea mods="allowNoFillOverride allowNoLineOverride">
    <cs:lnRef idx="1">
      <a:sysClr val="windowText" lastClr="000000">
        <a:tint val="75000"/>
      </a:sysClr>
    </cs:lnRef>
    <cs:fillRef idx="1">
      <a:sysClr val="window" lastClr="FFFFFF"/>
    </cs:fillRef>
    <cs:effectRef idx="0"/>
    <cs:fontRef idx="minor">
      <a:sysClr val="windowText" lastClr="000000"/>
    </cs:fontRef>
    <cs:spPr>
      <a:ln>
        <a:round/>
      </a:ln>
    </cs:spPr>
    <cs:defRPr sz="1000" kern="1200"/>
  </cs:chartArea>
  <cs:dataLabel>
    <cs:lnRef idx="0"/>
    <cs:fillRef idx="0"/>
    <cs:effectRef idx="0"/>
    <cs:fontRef idx="minor">
      <a:sysClr val="windowText" lastClr="000000"/>
    </cs:fontRef>
    <cs:defRPr sz="1000" kern="1200"/>
  </cs:dataLabel>
  <cs:dataLabelCallout>
    <cs:lnRef idx="0"/>
    <cs:fillRef idx="0"/>
    <cs:effectRef idx="0"/>
    <cs:fontRef idx="minor">
      <a:sysClr val="windowText" lastClr="000000"/>
    </cs:fontRef>
    <cs:spPr>
      <a:solidFill>
        <a:sysClr val="window" lastClr="FFFFFF"/>
      </a:solidFill>
      <a:ln>
        <a:solidFill>
          <a:sysClr val="windowText" lastClr="000000">
            <a:lumMod val="65000"/>
            <a:lumOff val="35000"/>
          </a:sysClr>
        </a:solidFill>
      </a:ln>
    </cs:spPr>
    <cs:defRPr sz="1000" kern="1200"/>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1">
      <cs:styleClr val="auto"/>
    </cs:lnRef>
    <cs:lineWidthScale>3</cs:lineWidthScale>
    <cs:fillRef idx="0"/>
    <cs:effectRef idx="0"/>
    <cs:fontRef idx="minor">
      <a:sysClr val="windowText" lastClr="000000"/>
    </cs:fontRef>
    <cs:spPr>
      <a:ln cap="rnd">
        <a:round/>
      </a:ln>
    </cs:spPr>
  </cs:dataPointLine>
  <cs:dataPointMarker>
    <cs:lnRef idx="1">
      <cs:styleClr val="auto"/>
    </cs:lnRef>
    <cs:fillRef idx="1">
      <cs:styleClr val="auto"/>
    </cs:fillRef>
    <cs:effectRef idx="0"/>
    <cs:fontRef idx="minor">
      <a:sysClr val="windowText" lastClr="000000"/>
    </cs:fontRef>
    <cs:spPr>
      <a:ln>
        <a:round/>
      </a:ln>
    </cs:spPr>
  </cs:dataPointMarker>
  <cs:dataPointMarkerLayout/>
  <cs:dataPointWireframe>
    <cs:lnRef idx="1">
      <cs:styleClr val="auto"/>
    </cs:lnRef>
    <cs:fillRef idx="0"/>
    <cs:effectRef idx="0"/>
    <cs:fontRef idx="minor">
      <a:sysClr val="windowText" lastClr="000000"/>
    </cs:fontRef>
    <cs:spPr>
      <a:ln>
        <a:round/>
      </a:ln>
    </cs:spPr>
  </cs:dataPointWireframe>
  <cs:dataTable>
    <cs:lnRef idx="1">
      <a:sysClr val="windowText" lastClr="000000">
        <a:tint val="75000"/>
      </a:sysClr>
    </cs:lnRef>
    <cs:fillRef idx="0"/>
    <cs:effectRef idx="0"/>
    <cs:fontRef idx="minor">
      <a:sysClr val="windowText" lastClr="000000"/>
    </cs:fontRef>
    <cs:spPr>
      <a:ln>
        <a:round/>
      </a:ln>
    </cs:spPr>
    <cs:defRPr sz="1000" kern="1200"/>
  </cs:dataTable>
  <cs:downBar>
    <cs:lnRef idx="1">
      <a:sysClr val="windowText" lastClr="000000"/>
    </cs:lnRef>
    <cs:fillRef idx="1">
      <a:sysClr val="windowText" lastClr="000000">
        <a:tint val="95000"/>
      </a:sysClr>
    </cs:fillRef>
    <cs:effectRef idx="0"/>
    <cs:fontRef idx="minor">
      <a:sysClr val="windowText" lastClr="000000"/>
    </cs:fontRef>
    <cs:spPr>
      <a:ln>
        <a:round/>
      </a:ln>
    </cs:spPr>
  </cs:downBar>
  <cs:dropLine>
    <cs:lnRef idx="1">
      <a:sysClr val="windowText" lastClr="000000"/>
    </cs:lnRef>
    <cs:fillRef idx="0"/>
    <cs:effectRef idx="0"/>
    <cs:fontRef idx="minor">
      <a:sysClr val="windowText" lastClr="000000"/>
    </cs:fontRef>
    <cs:spPr>
      <a:ln>
        <a:round/>
      </a:ln>
    </cs:spPr>
  </cs:dropLine>
  <cs:errorBar>
    <cs:lnRef idx="1">
      <a:sysClr val="windowText" lastClr="000000"/>
    </cs:lnRef>
    <cs:fillRef idx="1">
      <a:sysClr val="windowText" lastClr="000000"/>
    </cs:fillRef>
    <cs:effectRef idx="0"/>
    <cs:fontRef idx="minor">
      <a:sysClr val="windowText" lastClr="000000"/>
    </cs:fontRef>
    <cs:spPr>
      <a:ln>
        <a:round/>
      </a:ln>
    </cs:spPr>
  </cs:errorBar>
  <cs:floor>
    <cs:lnRef idx="1">
      <a:sysClr val="windowText" lastClr="000000">
        <a:tint val="75000"/>
      </a:sysClr>
    </cs:lnRef>
    <cs:fillRef idx="0"/>
    <cs:effectRef idx="0"/>
    <cs:fontRef idx="minor">
      <a:sysClr val="windowText" lastClr="000000"/>
    </cs:fontRef>
    <cs:spPr>
      <a:ln>
        <a:round/>
      </a:ln>
    </cs:spPr>
  </cs:floor>
  <cs:gridlineMajor>
    <cs:lnRef idx="1">
      <a:sysClr val="windowText" lastClr="000000">
        <a:tint val="75000"/>
      </a:sysClr>
    </cs:lnRef>
    <cs:fillRef idx="0"/>
    <cs:effectRef idx="0"/>
    <cs:fontRef idx="minor">
      <a:sysClr val="windowText" lastClr="000000"/>
    </cs:fontRef>
    <cs:spPr>
      <a:ln>
        <a:round/>
      </a:ln>
    </cs:spPr>
  </cs:gridlineMajor>
  <cs:gridlineMinor>
    <cs:lnRef idx="1">
      <a:sysClr val="windowText" lastClr="000000">
        <a:tint val="50000"/>
      </a:sysClr>
    </cs:lnRef>
    <cs:fillRef idx="0"/>
    <cs:effectRef idx="0"/>
    <cs:fontRef idx="minor">
      <a:sysClr val="windowText" lastClr="000000"/>
    </cs:fontRef>
    <cs:spPr>
      <a:ln>
        <a:round/>
      </a:ln>
    </cs:spPr>
  </cs:gridlineMinor>
  <cs:hiLoLine>
    <cs:lnRef idx="1">
      <a:sysClr val="windowText" lastClr="000000"/>
    </cs:lnRef>
    <cs:fillRef idx="0"/>
    <cs:effectRef idx="0"/>
    <cs:fontRef idx="minor">
      <a:sysClr val="windowText" lastClr="000000"/>
    </cs:fontRef>
    <cs:spPr>
      <a:ln>
        <a:round/>
      </a:ln>
    </cs:spPr>
  </cs:hiLoLine>
  <cs:leaderLine>
    <cs:lnRef idx="1">
      <a:sysClr val="windowText" lastClr="000000"/>
    </cs:lnRef>
    <cs:fillRef idx="0"/>
    <cs:effectRef idx="0"/>
    <cs:fontRef idx="minor">
      <a:sysClr val="windowText" lastClr="000000"/>
    </cs:fontRef>
    <cs:spPr>
      <a:ln>
        <a:round/>
      </a:ln>
    </cs:spPr>
  </cs:leaderLine>
  <cs:legend>
    <cs:lnRef idx="0"/>
    <cs:fillRef idx="0"/>
    <cs:effectRef idx="0"/>
    <cs:fontRef idx="minor">
      <a:sysClr val="windowText" lastClr="000000"/>
    </cs:fontRef>
    <cs:defRPr sz="1000" kern="1200"/>
  </cs:legend>
  <cs:plotArea mods="allowNoFillOverride allowNoLineOverride">
    <cs:lnRef idx="0"/>
    <cs:fillRef idx="1">
      <a:sysClr val="window" lastClr="FFFFFF"/>
    </cs:fillRef>
    <cs:effectRef idx="0"/>
    <cs:fontRef idx="minor">
      <a:sysClr val="windowText" lastClr="000000"/>
    </cs:fontRef>
  </cs:plotArea>
  <cs:plotArea3D>
    <cs:lnRef idx="0"/>
    <cs:fillRef idx="0"/>
    <cs:effectRef idx="0"/>
    <cs:fontRef idx="minor">
      <a:sysClr val="windowText" lastClr="000000"/>
    </cs:fontRef>
  </cs:plotArea3D>
  <cs:seriesAxis>
    <cs:lnRef idx="1">
      <a:sysClr val="windowText" lastClr="000000">
        <a:tint val="75000"/>
      </a:sysClr>
    </cs:lnRef>
    <cs:fillRef idx="0"/>
    <cs:effectRef idx="0"/>
    <cs:fontRef idx="minor">
      <a:sysClr val="windowText" lastClr="000000"/>
    </cs:fontRef>
    <cs:spPr>
      <a:ln>
        <a:round/>
      </a:ln>
    </cs:spPr>
    <cs:defRPr sz="1000" kern="1200"/>
  </cs:seriesAxis>
  <cs:seriesLine>
    <cs:lnRef idx="1">
      <a:sysClr val="windowText" lastClr="000000"/>
    </cs:lnRef>
    <cs:fillRef idx="0"/>
    <cs:effectRef idx="0"/>
    <cs:fontRef idx="minor">
      <a:sysClr val="windowText" lastClr="000000"/>
    </cs:fontRef>
    <cs:spPr>
      <a:ln>
        <a:round/>
      </a:ln>
    </cs:spPr>
  </cs:seriesLine>
  <cs:title>
    <cs:lnRef idx="0"/>
    <cs:fillRef idx="0"/>
    <cs:effectRef idx="0"/>
    <cs:fontRef idx="minor">
      <a:sysClr val="windowText" lastClr="000000"/>
    </cs:fontRef>
    <cs:defRPr sz="1800" b="1" kern="1200"/>
  </cs:title>
  <cs:trendline>
    <cs:lnRef idx="1">
      <a:sysClr val="windowText" lastClr="000000"/>
    </cs:lnRef>
    <cs:fillRef idx="0"/>
    <cs:effectRef idx="0"/>
    <cs:fontRef idx="minor">
      <a:sysClr val="windowText" lastClr="000000"/>
    </cs:fontRef>
    <cs:spPr>
      <a:ln cap="rnd">
        <a:round/>
      </a:ln>
    </cs:spPr>
  </cs:trendline>
  <cs:trendlineLabel>
    <cs:lnRef idx="0"/>
    <cs:fillRef idx="0"/>
    <cs:effectRef idx="0"/>
    <cs:fontRef idx="minor">
      <a:sysClr val="windowText" lastClr="000000"/>
    </cs:fontRef>
    <cs:defRPr sz="1000" kern="1200"/>
  </cs:trendlineLabel>
  <cs:upBar>
    <cs:lnRef idx="1">
      <a:sysClr val="windowText" lastClr="000000"/>
    </cs:lnRef>
    <cs:fillRef idx="1">
      <a:sysClr val="windowText" lastClr="000000">
        <a:tint val="5000"/>
      </a:sysClr>
    </cs:fillRef>
    <cs:effectRef idx="0"/>
    <cs:fontRef idx="minor">
      <a:sysClr val="windowText" lastClr="000000"/>
    </cs:fontRef>
    <cs:spPr>
      <a:ln>
        <a:round/>
      </a:ln>
    </cs:spPr>
  </cs:upBar>
  <cs:valueAxis>
    <cs:lnRef idx="1">
      <a:sysClr val="windowText" lastClr="000000">
        <a:tint val="75000"/>
      </a:sysClr>
    </cs:lnRef>
    <cs:fillRef idx="0"/>
    <cs:effectRef idx="0"/>
    <cs:fontRef idx="minor">
      <a:sysClr val="windowText" lastClr="000000"/>
    </cs:fontRef>
    <cs:spPr>
      <a:ln>
        <a:round/>
      </a:ln>
    </cs:spPr>
    <cs:defRPr sz="1000" kern="1200"/>
  </cs:valueAxis>
  <cs:wall>
    <cs:lnRef idx="0"/>
    <cs:fillRef idx="0"/>
    <cs:effectRef idx="0"/>
    <cs:fontRef idx="minor">
      <a:sysClr val="windowText" lastClr="000000"/>
    </cs:fontRef>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14.xml><?xml version="1.0" encoding="utf-8"?>
<cs:chartStyle xmlns:cs="http://schemas.microsoft.com/office/drawing/2012/chartStyle" xmlns:a="http://schemas.openxmlformats.org/drawingml/2006/main" id="107">
  <cs:axisTitle>
    <cs:lnRef idx="0"/>
    <cs:fillRef idx="0"/>
    <cs:effectRef idx="0"/>
    <cs:fontRef idx="minor">
      <a:sysClr val="windowText" lastClr="000000"/>
    </cs:fontRef>
    <cs:defRPr sz="1000" b="1" kern="1200"/>
  </cs:axisTitle>
  <cs:categoryAxis>
    <cs:lnRef idx="1">
      <a:sysClr val="windowText" lastClr="000000">
        <a:tint val="75000"/>
      </a:sysClr>
    </cs:lnRef>
    <cs:fillRef idx="0"/>
    <cs:effectRef idx="0"/>
    <cs:fontRef idx="minor">
      <a:sysClr val="windowText" lastClr="000000"/>
    </cs:fontRef>
    <cs:spPr>
      <a:ln>
        <a:round/>
      </a:ln>
    </cs:spPr>
    <cs:defRPr sz="1000" kern="1200"/>
  </cs:categoryAxis>
  <cs:chartArea mods="allowNoFillOverride allowNoLineOverride">
    <cs:lnRef idx="1">
      <a:sysClr val="windowText" lastClr="000000">
        <a:tint val="75000"/>
      </a:sysClr>
    </cs:lnRef>
    <cs:fillRef idx="1">
      <a:sysClr val="window" lastClr="FFFFFF"/>
    </cs:fillRef>
    <cs:effectRef idx="0"/>
    <cs:fontRef idx="minor">
      <a:sysClr val="windowText" lastClr="000000"/>
    </cs:fontRef>
    <cs:spPr>
      <a:ln>
        <a:round/>
      </a:ln>
    </cs:spPr>
    <cs:defRPr sz="1000" kern="1200"/>
  </cs:chartArea>
  <cs:dataLabel>
    <cs:lnRef idx="0"/>
    <cs:fillRef idx="0"/>
    <cs:effectRef idx="0"/>
    <cs:fontRef idx="minor">
      <a:sysClr val="windowText" lastClr="000000"/>
    </cs:fontRef>
    <cs:defRPr sz="1000" kern="1200"/>
  </cs:dataLabel>
  <cs:dataLabelCallout>
    <cs:lnRef idx="0"/>
    <cs:fillRef idx="0"/>
    <cs:effectRef idx="0"/>
    <cs:fontRef idx="minor">
      <a:sysClr val="windowText" lastClr="000000"/>
    </cs:fontRef>
    <cs:spPr>
      <a:solidFill>
        <a:sysClr val="window" lastClr="FFFFFF"/>
      </a:solidFill>
      <a:ln>
        <a:solidFill>
          <a:sysClr val="windowText" lastClr="000000">
            <a:lumMod val="65000"/>
            <a:lumOff val="35000"/>
          </a:sysClr>
        </a:solidFill>
      </a:ln>
    </cs:spPr>
    <cs:defRPr sz="1000" kern="1200"/>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1">
      <cs:styleClr val="auto"/>
    </cs:lnRef>
    <cs:lineWidthScale>3</cs:lineWidthScale>
    <cs:fillRef idx="0"/>
    <cs:effectRef idx="0"/>
    <cs:fontRef idx="minor">
      <a:sysClr val="windowText" lastClr="000000"/>
    </cs:fontRef>
    <cs:spPr>
      <a:ln cap="rnd">
        <a:round/>
      </a:ln>
    </cs:spPr>
  </cs:dataPointLine>
  <cs:dataPointMarker>
    <cs:lnRef idx="1">
      <cs:styleClr val="auto"/>
    </cs:lnRef>
    <cs:fillRef idx="1">
      <cs:styleClr val="auto"/>
    </cs:fillRef>
    <cs:effectRef idx="0"/>
    <cs:fontRef idx="minor">
      <a:sysClr val="windowText" lastClr="000000"/>
    </cs:fontRef>
    <cs:spPr>
      <a:ln>
        <a:round/>
      </a:ln>
    </cs:spPr>
  </cs:dataPointMarker>
  <cs:dataPointMarkerLayout/>
  <cs:dataPointWireframe>
    <cs:lnRef idx="1">
      <cs:styleClr val="auto"/>
    </cs:lnRef>
    <cs:fillRef idx="0"/>
    <cs:effectRef idx="0"/>
    <cs:fontRef idx="minor">
      <a:sysClr val="windowText" lastClr="000000"/>
    </cs:fontRef>
    <cs:spPr>
      <a:ln>
        <a:round/>
      </a:ln>
    </cs:spPr>
  </cs:dataPointWireframe>
  <cs:dataTable>
    <cs:lnRef idx="1">
      <a:sysClr val="windowText" lastClr="000000">
        <a:tint val="75000"/>
      </a:sysClr>
    </cs:lnRef>
    <cs:fillRef idx="0"/>
    <cs:effectRef idx="0"/>
    <cs:fontRef idx="minor">
      <a:sysClr val="windowText" lastClr="000000"/>
    </cs:fontRef>
    <cs:spPr>
      <a:ln>
        <a:round/>
      </a:ln>
    </cs:spPr>
    <cs:defRPr sz="1000" kern="1200"/>
  </cs:dataTable>
  <cs:downBar>
    <cs:lnRef idx="1">
      <a:sysClr val="windowText" lastClr="000000"/>
    </cs:lnRef>
    <cs:fillRef idx="1" mods="ignoreCSTransforms">
      <cs:styleClr val="0">
        <a:shade val="25000"/>
      </cs:styleClr>
    </cs:fillRef>
    <cs:effectRef idx="0"/>
    <cs:fontRef idx="minor">
      <a:sysClr val="windowText" lastClr="000000"/>
    </cs:fontRef>
    <cs:spPr>
      <a:ln>
        <a:round/>
      </a:ln>
    </cs:spPr>
  </cs:downBar>
  <cs:dropLine>
    <cs:lnRef idx="1">
      <a:sysClr val="windowText" lastClr="000000"/>
    </cs:lnRef>
    <cs:fillRef idx="0"/>
    <cs:effectRef idx="0"/>
    <cs:fontRef idx="minor">
      <a:sysClr val="windowText" lastClr="000000"/>
    </cs:fontRef>
    <cs:spPr>
      <a:ln>
        <a:round/>
      </a:ln>
    </cs:spPr>
  </cs:dropLine>
  <cs:errorBar>
    <cs:lnRef idx="1">
      <a:sysClr val="windowText" lastClr="000000"/>
    </cs:lnRef>
    <cs:fillRef idx="1">
      <a:sysClr val="windowText" lastClr="000000"/>
    </cs:fillRef>
    <cs:effectRef idx="0"/>
    <cs:fontRef idx="minor">
      <a:sysClr val="windowText" lastClr="000000"/>
    </cs:fontRef>
    <cs:spPr>
      <a:ln>
        <a:round/>
      </a:ln>
    </cs:spPr>
  </cs:errorBar>
  <cs:floor>
    <cs:lnRef idx="1">
      <a:sysClr val="windowText" lastClr="000000">
        <a:tint val="75000"/>
      </a:sysClr>
    </cs:lnRef>
    <cs:fillRef idx="0"/>
    <cs:effectRef idx="0"/>
    <cs:fontRef idx="minor">
      <a:sysClr val="windowText" lastClr="000000"/>
    </cs:fontRef>
    <cs:spPr>
      <a:ln>
        <a:round/>
      </a:ln>
    </cs:spPr>
  </cs:floor>
  <cs:gridlineMajor>
    <cs:lnRef idx="1">
      <a:sysClr val="windowText" lastClr="000000">
        <a:tint val="75000"/>
      </a:sysClr>
    </cs:lnRef>
    <cs:fillRef idx="0"/>
    <cs:effectRef idx="0"/>
    <cs:fontRef idx="minor">
      <a:sysClr val="windowText" lastClr="000000"/>
    </cs:fontRef>
    <cs:spPr>
      <a:ln>
        <a:round/>
      </a:ln>
    </cs:spPr>
  </cs:gridlineMajor>
  <cs:gridlineMinor>
    <cs:lnRef idx="1">
      <a:sysClr val="windowText" lastClr="000000">
        <a:tint val="50000"/>
      </a:sysClr>
    </cs:lnRef>
    <cs:fillRef idx="0"/>
    <cs:effectRef idx="0"/>
    <cs:fontRef idx="minor">
      <a:sysClr val="windowText" lastClr="000000"/>
    </cs:fontRef>
    <cs:spPr>
      <a:ln>
        <a:round/>
      </a:ln>
    </cs:spPr>
  </cs:gridlineMinor>
  <cs:hiLoLine>
    <cs:lnRef idx="1">
      <a:sysClr val="windowText" lastClr="000000"/>
    </cs:lnRef>
    <cs:fillRef idx="0"/>
    <cs:effectRef idx="0"/>
    <cs:fontRef idx="minor">
      <a:sysClr val="windowText" lastClr="000000"/>
    </cs:fontRef>
    <cs:spPr>
      <a:ln>
        <a:round/>
      </a:ln>
    </cs:spPr>
  </cs:hiLoLine>
  <cs:leaderLine>
    <cs:lnRef idx="1">
      <a:sysClr val="windowText" lastClr="000000"/>
    </cs:lnRef>
    <cs:fillRef idx="0"/>
    <cs:effectRef idx="0"/>
    <cs:fontRef idx="minor">
      <a:sysClr val="windowText" lastClr="000000"/>
    </cs:fontRef>
    <cs:spPr>
      <a:ln>
        <a:round/>
      </a:ln>
    </cs:spPr>
  </cs:leaderLine>
  <cs:legend>
    <cs:lnRef idx="0"/>
    <cs:fillRef idx="0"/>
    <cs:effectRef idx="0"/>
    <cs:fontRef idx="minor">
      <a:sysClr val="windowText" lastClr="000000"/>
    </cs:fontRef>
    <cs:defRPr sz="1000" kern="1200"/>
  </cs:legend>
  <cs:plotArea mods="allowNoFillOverride allowNoLineOverride">
    <cs:lnRef idx="0"/>
    <cs:fillRef idx="1">
      <a:sysClr val="window" lastClr="FFFFFF"/>
    </cs:fillRef>
    <cs:effectRef idx="0"/>
    <cs:fontRef idx="minor">
      <a:sysClr val="windowText" lastClr="000000"/>
    </cs:fontRef>
  </cs:plotArea>
  <cs:plotArea3D>
    <cs:lnRef idx="0"/>
    <cs:fillRef idx="0"/>
    <cs:effectRef idx="0"/>
    <cs:fontRef idx="minor">
      <a:sysClr val="windowText" lastClr="000000"/>
    </cs:fontRef>
  </cs:plotArea3D>
  <cs:seriesAxis>
    <cs:lnRef idx="1">
      <a:sysClr val="windowText" lastClr="000000">
        <a:tint val="75000"/>
      </a:sysClr>
    </cs:lnRef>
    <cs:fillRef idx="0"/>
    <cs:effectRef idx="0"/>
    <cs:fontRef idx="minor">
      <a:sysClr val="windowText" lastClr="000000"/>
    </cs:fontRef>
    <cs:spPr>
      <a:ln>
        <a:round/>
      </a:ln>
    </cs:spPr>
    <cs:defRPr sz="1000" kern="1200"/>
  </cs:seriesAxis>
  <cs:seriesLine>
    <cs:lnRef idx="1">
      <a:sysClr val="windowText" lastClr="000000"/>
    </cs:lnRef>
    <cs:fillRef idx="0"/>
    <cs:effectRef idx="0"/>
    <cs:fontRef idx="minor">
      <a:sysClr val="windowText" lastClr="000000"/>
    </cs:fontRef>
    <cs:spPr>
      <a:ln>
        <a:round/>
      </a:ln>
    </cs:spPr>
  </cs:seriesLine>
  <cs:title>
    <cs:lnRef idx="0"/>
    <cs:fillRef idx="0"/>
    <cs:effectRef idx="0"/>
    <cs:fontRef idx="minor">
      <a:sysClr val="windowText" lastClr="000000"/>
    </cs:fontRef>
    <cs:defRPr sz="1800" b="1" kern="1200"/>
  </cs:title>
  <cs:trendline>
    <cs:lnRef idx="1">
      <a:sysClr val="windowText" lastClr="000000"/>
    </cs:lnRef>
    <cs:fillRef idx="0"/>
    <cs:effectRef idx="0"/>
    <cs:fontRef idx="minor">
      <a:sysClr val="windowText" lastClr="000000"/>
    </cs:fontRef>
    <cs:spPr>
      <a:ln cap="rnd">
        <a:round/>
      </a:ln>
    </cs:spPr>
  </cs:trendline>
  <cs:trendlineLabel>
    <cs:lnRef idx="0"/>
    <cs:fillRef idx="0"/>
    <cs:effectRef idx="0"/>
    <cs:fontRef idx="minor">
      <a:sysClr val="windowText" lastClr="000000"/>
    </cs:fontRef>
    <cs:defRPr sz="1000" kern="1200"/>
  </cs:trendlineLabel>
  <cs:upBar>
    <cs:lnRef idx="1">
      <a:sysClr val="windowText" lastClr="000000"/>
    </cs:lnRef>
    <cs:fillRef idx="1" mods="ignoreCSTransforms">
      <cs:styleClr val="0">
        <a:tint val="25000"/>
      </cs:styleClr>
    </cs:fillRef>
    <cs:effectRef idx="0"/>
    <cs:fontRef idx="minor">
      <a:sysClr val="windowText" lastClr="000000"/>
    </cs:fontRef>
    <cs:spPr>
      <a:ln>
        <a:round/>
      </a:ln>
    </cs:spPr>
  </cs:upBar>
  <cs:valueAxis>
    <cs:lnRef idx="1">
      <a:sysClr val="windowText" lastClr="000000">
        <a:tint val="75000"/>
      </a:sysClr>
    </cs:lnRef>
    <cs:fillRef idx="0"/>
    <cs:effectRef idx="0"/>
    <cs:fontRef idx="minor">
      <a:sysClr val="windowText" lastClr="000000"/>
    </cs:fontRef>
    <cs:spPr>
      <a:ln>
        <a:round/>
      </a:ln>
    </cs:spPr>
    <cs:defRPr sz="1000" kern="1200"/>
  </cs:valueAxis>
  <cs:wall>
    <cs:lnRef idx="0"/>
    <cs:fillRef idx="0"/>
    <cs:effectRef idx="0"/>
    <cs:fontRef idx="minor">
      <a:sysClr val="windowText" lastClr="000000"/>
    </cs:fontRef>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75000"/>
          <a:lumOff val="25000"/>
        </a:sysClr>
      </a:solidFill>
      <a:ln w="9525" cap="flat" cmpd="sng" algn="ctr">
        <a:solidFill>
          <a:sysClr val="windowText" lastClr="000000">
            <a:lumMod val="65000"/>
            <a:lumOff val="35000"/>
          </a:sysClr>
        </a:solidFill>
        <a:round/>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50000"/>
            <a:lumOff val="50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cap="flat" cmpd="sng" algn="ctr">
        <a:solidFill>
          <a:sysClr val="windowText" lastClr="000000">
            <a:lumMod val="65000"/>
            <a:lumOff val="35000"/>
          </a:sysClr>
        </a:solidFill>
        <a:round/>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16.xml><?xml version="1.0" encoding="utf-8"?>
<cs:chartStyle xmlns:cs="http://schemas.microsoft.com/office/drawing/2012/chartStyle" xmlns:a="http://schemas.openxmlformats.org/drawingml/2006/main" id="107">
  <cs:axisTitle>
    <cs:lnRef idx="0"/>
    <cs:fillRef idx="0"/>
    <cs:effectRef idx="0"/>
    <cs:fontRef idx="minor">
      <a:sysClr val="windowText" lastClr="000000"/>
    </cs:fontRef>
    <cs:defRPr sz="1000" b="1" kern="1200"/>
  </cs:axisTitle>
  <cs:categoryAxis>
    <cs:lnRef idx="1">
      <a:sysClr val="windowText" lastClr="000000">
        <a:tint val="75000"/>
      </a:sysClr>
    </cs:lnRef>
    <cs:fillRef idx="0"/>
    <cs:effectRef idx="0"/>
    <cs:fontRef idx="minor">
      <a:sysClr val="windowText" lastClr="000000"/>
    </cs:fontRef>
    <cs:spPr>
      <a:ln>
        <a:round/>
      </a:ln>
    </cs:spPr>
    <cs:defRPr sz="1000" kern="1200"/>
  </cs:categoryAxis>
  <cs:chartArea mods="allowNoFillOverride allowNoLineOverride">
    <cs:lnRef idx="1">
      <a:sysClr val="windowText" lastClr="000000">
        <a:tint val="75000"/>
      </a:sysClr>
    </cs:lnRef>
    <cs:fillRef idx="1">
      <a:sysClr val="window" lastClr="FFFFFF"/>
    </cs:fillRef>
    <cs:effectRef idx="0"/>
    <cs:fontRef idx="minor">
      <a:sysClr val="windowText" lastClr="000000"/>
    </cs:fontRef>
    <cs:spPr>
      <a:ln>
        <a:round/>
      </a:ln>
    </cs:spPr>
    <cs:defRPr sz="1000" kern="1200"/>
  </cs:chartArea>
  <cs:dataLabel>
    <cs:lnRef idx="0"/>
    <cs:fillRef idx="0"/>
    <cs:effectRef idx="0"/>
    <cs:fontRef idx="minor">
      <a:sysClr val="windowText" lastClr="000000"/>
    </cs:fontRef>
    <cs:defRPr sz="1000" kern="1200"/>
  </cs:dataLabel>
  <cs:dataLabelCallout>
    <cs:lnRef idx="0"/>
    <cs:fillRef idx="0"/>
    <cs:effectRef idx="0"/>
    <cs:fontRef idx="minor">
      <a:sysClr val="windowText" lastClr="000000"/>
    </cs:fontRef>
    <cs:spPr>
      <a:solidFill>
        <a:sysClr val="window" lastClr="FFFFFF"/>
      </a:solidFill>
      <a:ln>
        <a:solidFill>
          <a:sysClr val="windowText" lastClr="000000">
            <a:lumMod val="65000"/>
            <a:lumOff val="35000"/>
          </a:sysClr>
        </a:solidFill>
      </a:ln>
    </cs:spPr>
    <cs:defRPr sz="1000" kern="1200"/>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1">
      <cs:styleClr val="auto"/>
    </cs:lnRef>
    <cs:lineWidthScale>3</cs:lineWidthScale>
    <cs:fillRef idx="0"/>
    <cs:effectRef idx="0"/>
    <cs:fontRef idx="minor">
      <a:sysClr val="windowText" lastClr="000000"/>
    </cs:fontRef>
    <cs:spPr>
      <a:ln cap="rnd">
        <a:round/>
      </a:ln>
    </cs:spPr>
  </cs:dataPointLine>
  <cs:dataPointMarker>
    <cs:lnRef idx="1">
      <cs:styleClr val="auto"/>
    </cs:lnRef>
    <cs:fillRef idx="1">
      <cs:styleClr val="auto"/>
    </cs:fillRef>
    <cs:effectRef idx="0"/>
    <cs:fontRef idx="minor">
      <a:sysClr val="windowText" lastClr="000000"/>
    </cs:fontRef>
    <cs:spPr>
      <a:ln>
        <a:round/>
      </a:ln>
    </cs:spPr>
  </cs:dataPointMarker>
  <cs:dataPointMarkerLayout/>
  <cs:dataPointWireframe>
    <cs:lnRef idx="1">
      <cs:styleClr val="auto"/>
    </cs:lnRef>
    <cs:fillRef idx="0"/>
    <cs:effectRef idx="0"/>
    <cs:fontRef idx="minor">
      <a:sysClr val="windowText" lastClr="000000"/>
    </cs:fontRef>
    <cs:spPr>
      <a:ln>
        <a:round/>
      </a:ln>
    </cs:spPr>
  </cs:dataPointWireframe>
  <cs:dataTable>
    <cs:lnRef idx="1">
      <a:sysClr val="windowText" lastClr="000000">
        <a:tint val="75000"/>
      </a:sysClr>
    </cs:lnRef>
    <cs:fillRef idx="0"/>
    <cs:effectRef idx="0"/>
    <cs:fontRef idx="minor">
      <a:sysClr val="windowText" lastClr="000000"/>
    </cs:fontRef>
    <cs:spPr>
      <a:ln>
        <a:round/>
      </a:ln>
    </cs:spPr>
    <cs:defRPr sz="1000" kern="1200"/>
  </cs:dataTable>
  <cs:downBar>
    <cs:lnRef idx="1">
      <a:sysClr val="windowText" lastClr="000000"/>
    </cs:lnRef>
    <cs:fillRef idx="1" mods="ignoreCSTransforms">
      <cs:styleClr val="0">
        <a:shade val="25000"/>
      </cs:styleClr>
    </cs:fillRef>
    <cs:effectRef idx="0"/>
    <cs:fontRef idx="minor">
      <a:sysClr val="windowText" lastClr="000000"/>
    </cs:fontRef>
    <cs:spPr>
      <a:ln>
        <a:round/>
      </a:ln>
    </cs:spPr>
  </cs:downBar>
  <cs:dropLine>
    <cs:lnRef idx="1">
      <a:sysClr val="windowText" lastClr="000000"/>
    </cs:lnRef>
    <cs:fillRef idx="0"/>
    <cs:effectRef idx="0"/>
    <cs:fontRef idx="minor">
      <a:sysClr val="windowText" lastClr="000000"/>
    </cs:fontRef>
    <cs:spPr>
      <a:ln>
        <a:round/>
      </a:ln>
    </cs:spPr>
  </cs:dropLine>
  <cs:errorBar>
    <cs:lnRef idx="1">
      <a:sysClr val="windowText" lastClr="000000"/>
    </cs:lnRef>
    <cs:fillRef idx="1">
      <a:sysClr val="windowText" lastClr="000000"/>
    </cs:fillRef>
    <cs:effectRef idx="0"/>
    <cs:fontRef idx="minor">
      <a:sysClr val="windowText" lastClr="000000"/>
    </cs:fontRef>
    <cs:spPr>
      <a:ln>
        <a:round/>
      </a:ln>
    </cs:spPr>
  </cs:errorBar>
  <cs:floor>
    <cs:lnRef idx="1">
      <a:sysClr val="windowText" lastClr="000000">
        <a:tint val="75000"/>
      </a:sysClr>
    </cs:lnRef>
    <cs:fillRef idx="0"/>
    <cs:effectRef idx="0"/>
    <cs:fontRef idx="minor">
      <a:sysClr val="windowText" lastClr="000000"/>
    </cs:fontRef>
    <cs:spPr>
      <a:ln>
        <a:round/>
      </a:ln>
    </cs:spPr>
  </cs:floor>
  <cs:gridlineMajor>
    <cs:lnRef idx="1">
      <a:sysClr val="windowText" lastClr="000000">
        <a:tint val="75000"/>
      </a:sysClr>
    </cs:lnRef>
    <cs:fillRef idx="0"/>
    <cs:effectRef idx="0"/>
    <cs:fontRef idx="minor">
      <a:sysClr val="windowText" lastClr="000000"/>
    </cs:fontRef>
    <cs:spPr>
      <a:ln>
        <a:round/>
      </a:ln>
    </cs:spPr>
  </cs:gridlineMajor>
  <cs:gridlineMinor>
    <cs:lnRef idx="1">
      <a:sysClr val="windowText" lastClr="000000">
        <a:tint val="50000"/>
      </a:sysClr>
    </cs:lnRef>
    <cs:fillRef idx="0"/>
    <cs:effectRef idx="0"/>
    <cs:fontRef idx="minor">
      <a:sysClr val="windowText" lastClr="000000"/>
    </cs:fontRef>
    <cs:spPr>
      <a:ln>
        <a:round/>
      </a:ln>
    </cs:spPr>
  </cs:gridlineMinor>
  <cs:hiLoLine>
    <cs:lnRef idx="1">
      <a:sysClr val="windowText" lastClr="000000"/>
    </cs:lnRef>
    <cs:fillRef idx="0"/>
    <cs:effectRef idx="0"/>
    <cs:fontRef idx="minor">
      <a:sysClr val="windowText" lastClr="000000"/>
    </cs:fontRef>
    <cs:spPr>
      <a:ln>
        <a:round/>
      </a:ln>
    </cs:spPr>
  </cs:hiLoLine>
  <cs:leaderLine>
    <cs:lnRef idx="1">
      <a:sysClr val="windowText" lastClr="000000"/>
    </cs:lnRef>
    <cs:fillRef idx="0"/>
    <cs:effectRef idx="0"/>
    <cs:fontRef idx="minor">
      <a:sysClr val="windowText" lastClr="000000"/>
    </cs:fontRef>
    <cs:spPr>
      <a:ln>
        <a:round/>
      </a:ln>
    </cs:spPr>
  </cs:leaderLine>
  <cs:legend>
    <cs:lnRef idx="0"/>
    <cs:fillRef idx="0"/>
    <cs:effectRef idx="0"/>
    <cs:fontRef idx="minor">
      <a:sysClr val="windowText" lastClr="000000"/>
    </cs:fontRef>
    <cs:defRPr sz="1000" kern="1200"/>
  </cs:legend>
  <cs:plotArea mods="allowNoFillOverride allowNoLineOverride">
    <cs:lnRef idx="0"/>
    <cs:fillRef idx="1">
      <a:sysClr val="window" lastClr="FFFFFF"/>
    </cs:fillRef>
    <cs:effectRef idx="0"/>
    <cs:fontRef idx="minor">
      <a:sysClr val="windowText" lastClr="000000"/>
    </cs:fontRef>
  </cs:plotArea>
  <cs:plotArea3D>
    <cs:lnRef idx="0"/>
    <cs:fillRef idx="0"/>
    <cs:effectRef idx="0"/>
    <cs:fontRef idx="minor">
      <a:sysClr val="windowText" lastClr="000000"/>
    </cs:fontRef>
  </cs:plotArea3D>
  <cs:seriesAxis>
    <cs:lnRef idx="1">
      <a:sysClr val="windowText" lastClr="000000">
        <a:tint val="75000"/>
      </a:sysClr>
    </cs:lnRef>
    <cs:fillRef idx="0"/>
    <cs:effectRef idx="0"/>
    <cs:fontRef idx="minor">
      <a:sysClr val="windowText" lastClr="000000"/>
    </cs:fontRef>
    <cs:spPr>
      <a:ln>
        <a:round/>
      </a:ln>
    </cs:spPr>
    <cs:defRPr sz="1000" kern="1200"/>
  </cs:seriesAxis>
  <cs:seriesLine>
    <cs:lnRef idx="1">
      <a:sysClr val="windowText" lastClr="000000"/>
    </cs:lnRef>
    <cs:fillRef idx="0"/>
    <cs:effectRef idx="0"/>
    <cs:fontRef idx="minor">
      <a:sysClr val="windowText" lastClr="000000"/>
    </cs:fontRef>
    <cs:spPr>
      <a:ln>
        <a:round/>
      </a:ln>
    </cs:spPr>
  </cs:seriesLine>
  <cs:title>
    <cs:lnRef idx="0"/>
    <cs:fillRef idx="0"/>
    <cs:effectRef idx="0"/>
    <cs:fontRef idx="minor">
      <a:sysClr val="windowText" lastClr="000000"/>
    </cs:fontRef>
    <cs:defRPr sz="1800" b="1" kern="1200"/>
  </cs:title>
  <cs:trendline>
    <cs:lnRef idx="1">
      <a:sysClr val="windowText" lastClr="000000"/>
    </cs:lnRef>
    <cs:fillRef idx="0"/>
    <cs:effectRef idx="0"/>
    <cs:fontRef idx="minor">
      <a:sysClr val="windowText" lastClr="000000"/>
    </cs:fontRef>
    <cs:spPr>
      <a:ln cap="rnd">
        <a:round/>
      </a:ln>
    </cs:spPr>
  </cs:trendline>
  <cs:trendlineLabel>
    <cs:lnRef idx="0"/>
    <cs:fillRef idx="0"/>
    <cs:effectRef idx="0"/>
    <cs:fontRef idx="minor">
      <a:sysClr val="windowText" lastClr="000000"/>
    </cs:fontRef>
    <cs:defRPr sz="1000" kern="1200"/>
  </cs:trendlineLabel>
  <cs:upBar>
    <cs:lnRef idx="1">
      <a:sysClr val="windowText" lastClr="000000"/>
    </cs:lnRef>
    <cs:fillRef idx="1" mods="ignoreCSTransforms">
      <cs:styleClr val="0">
        <a:tint val="25000"/>
      </cs:styleClr>
    </cs:fillRef>
    <cs:effectRef idx="0"/>
    <cs:fontRef idx="minor">
      <a:sysClr val="windowText" lastClr="000000"/>
    </cs:fontRef>
    <cs:spPr>
      <a:ln>
        <a:round/>
      </a:ln>
    </cs:spPr>
  </cs:upBar>
  <cs:valueAxis>
    <cs:lnRef idx="1">
      <a:sysClr val="windowText" lastClr="000000">
        <a:tint val="75000"/>
      </a:sysClr>
    </cs:lnRef>
    <cs:fillRef idx="0"/>
    <cs:effectRef idx="0"/>
    <cs:fontRef idx="minor">
      <a:sysClr val="windowText" lastClr="000000"/>
    </cs:fontRef>
    <cs:spPr>
      <a:ln>
        <a:round/>
      </a:ln>
    </cs:spPr>
    <cs:defRPr sz="1000" kern="1200"/>
  </cs:valueAxis>
  <cs:wall>
    <cs:lnRef idx="0"/>
    <cs:fillRef idx="0"/>
    <cs:effectRef idx="0"/>
    <cs:fontRef idx="minor">
      <a:sysClr val="windowText" lastClr="000000"/>
    </cs:fontRef>
  </cs:wall>
</cs:chartStyle>
</file>

<file path=word/charts/style17.xml><?xml version="1.0" encoding="utf-8"?>
<cs:chartStyle xmlns:cs="http://schemas.microsoft.com/office/drawing/2012/chartStyle" xmlns:a="http://schemas.openxmlformats.org/drawingml/2006/main" id="107">
  <cs:axisTitle>
    <cs:lnRef idx="0"/>
    <cs:fillRef idx="0"/>
    <cs:effectRef idx="0"/>
    <cs:fontRef idx="minor">
      <a:sysClr val="windowText" lastClr="000000"/>
    </cs:fontRef>
    <cs:defRPr sz="1000" b="1" kern="1200"/>
  </cs:axisTitle>
  <cs:categoryAxis>
    <cs:lnRef idx="1">
      <a:sysClr val="windowText" lastClr="000000">
        <a:tint val="75000"/>
      </a:sysClr>
    </cs:lnRef>
    <cs:fillRef idx="0"/>
    <cs:effectRef idx="0"/>
    <cs:fontRef idx="minor">
      <a:sysClr val="windowText" lastClr="000000"/>
    </cs:fontRef>
    <cs:spPr>
      <a:ln>
        <a:round/>
      </a:ln>
    </cs:spPr>
    <cs:defRPr sz="1000" kern="1200"/>
  </cs:categoryAxis>
  <cs:chartArea mods="allowNoFillOverride allowNoLineOverride">
    <cs:lnRef idx="1">
      <a:sysClr val="windowText" lastClr="000000">
        <a:tint val="75000"/>
      </a:sysClr>
    </cs:lnRef>
    <cs:fillRef idx="1">
      <a:sysClr val="window" lastClr="FFFFFF"/>
    </cs:fillRef>
    <cs:effectRef idx="0"/>
    <cs:fontRef idx="minor">
      <a:sysClr val="windowText" lastClr="000000"/>
    </cs:fontRef>
    <cs:spPr>
      <a:ln>
        <a:round/>
      </a:ln>
    </cs:spPr>
    <cs:defRPr sz="1000" kern="1200"/>
  </cs:chartArea>
  <cs:dataLabel>
    <cs:lnRef idx="0"/>
    <cs:fillRef idx="0"/>
    <cs:effectRef idx="0"/>
    <cs:fontRef idx="minor">
      <a:sysClr val="windowText" lastClr="000000"/>
    </cs:fontRef>
    <cs:defRPr sz="1000" kern="1200"/>
  </cs:dataLabel>
  <cs:dataLabelCallout>
    <cs:lnRef idx="0"/>
    <cs:fillRef idx="0"/>
    <cs:effectRef idx="0"/>
    <cs:fontRef idx="minor">
      <a:sysClr val="windowText" lastClr="000000"/>
    </cs:fontRef>
    <cs:spPr>
      <a:solidFill>
        <a:sysClr val="window" lastClr="FFFFFF"/>
      </a:solidFill>
      <a:ln>
        <a:solidFill>
          <a:sysClr val="windowText" lastClr="000000">
            <a:lumMod val="65000"/>
            <a:lumOff val="35000"/>
          </a:sysClr>
        </a:solidFill>
      </a:ln>
    </cs:spPr>
    <cs:defRPr sz="1000" kern="1200"/>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1">
      <cs:styleClr val="auto"/>
    </cs:lnRef>
    <cs:lineWidthScale>3</cs:lineWidthScale>
    <cs:fillRef idx="0"/>
    <cs:effectRef idx="0"/>
    <cs:fontRef idx="minor">
      <a:sysClr val="windowText" lastClr="000000"/>
    </cs:fontRef>
    <cs:spPr>
      <a:ln cap="rnd">
        <a:round/>
      </a:ln>
    </cs:spPr>
  </cs:dataPointLine>
  <cs:dataPointMarker>
    <cs:lnRef idx="1">
      <cs:styleClr val="auto"/>
    </cs:lnRef>
    <cs:fillRef idx="1">
      <cs:styleClr val="auto"/>
    </cs:fillRef>
    <cs:effectRef idx="0"/>
    <cs:fontRef idx="minor">
      <a:sysClr val="windowText" lastClr="000000"/>
    </cs:fontRef>
    <cs:spPr>
      <a:ln>
        <a:round/>
      </a:ln>
    </cs:spPr>
  </cs:dataPointMarker>
  <cs:dataPointMarkerLayout/>
  <cs:dataPointWireframe>
    <cs:lnRef idx="1">
      <cs:styleClr val="auto"/>
    </cs:lnRef>
    <cs:fillRef idx="0"/>
    <cs:effectRef idx="0"/>
    <cs:fontRef idx="minor">
      <a:sysClr val="windowText" lastClr="000000"/>
    </cs:fontRef>
    <cs:spPr>
      <a:ln>
        <a:round/>
      </a:ln>
    </cs:spPr>
  </cs:dataPointWireframe>
  <cs:dataTable>
    <cs:lnRef idx="1">
      <a:sysClr val="windowText" lastClr="000000">
        <a:tint val="75000"/>
      </a:sysClr>
    </cs:lnRef>
    <cs:fillRef idx="0"/>
    <cs:effectRef idx="0"/>
    <cs:fontRef idx="minor">
      <a:sysClr val="windowText" lastClr="000000"/>
    </cs:fontRef>
    <cs:spPr>
      <a:ln>
        <a:round/>
      </a:ln>
    </cs:spPr>
    <cs:defRPr sz="1000" kern="1200"/>
  </cs:dataTable>
  <cs:downBar>
    <cs:lnRef idx="1">
      <a:sysClr val="windowText" lastClr="000000"/>
    </cs:lnRef>
    <cs:fillRef idx="1" mods="ignoreCSTransforms">
      <cs:styleClr val="0">
        <a:shade val="25000"/>
      </cs:styleClr>
    </cs:fillRef>
    <cs:effectRef idx="0"/>
    <cs:fontRef idx="minor">
      <a:sysClr val="windowText" lastClr="000000"/>
    </cs:fontRef>
    <cs:spPr>
      <a:ln>
        <a:round/>
      </a:ln>
    </cs:spPr>
  </cs:downBar>
  <cs:dropLine>
    <cs:lnRef idx="1">
      <a:sysClr val="windowText" lastClr="000000"/>
    </cs:lnRef>
    <cs:fillRef idx="0"/>
    <cs:effectRef idx="0"/>
    <cs:fontRef idx="minor">
      <a:sysClr val="windowText" lastClr="000000"/>
    </cs:fontRef>
    <cs:spPr>
      <a:ln>
        <a:round/>
      </a:ln>
    </cs:spPr>
  </cs:dropLine>
  <cs:errorBar>
    <cs:lnRef idx="1">
      <a:sysClr val="windowText" lastClr="000000"/>
    </cs:lnRef>
    <cs:fillRef idx="1">
      <a:sysClr val="windowText" lastClr="000000"/>
    </cs:fillRef>
    <cs:effectRef idx="0"/>
    <cs:fontRef idx="minor">
      <a:sysClr val="windowText" lastClr="000000"/>
    </cs:fontRef>
    <cs:spPr>
      <a:ln>
        <a:round/>
      </a:ln>
    </cs:spPr>
  </cs:errorBar>
  <cs:floor>
    <cs:lnRef idx="1">
      <a:sysClr val="windowText" lastClr="000000">
        <a:tint val="75000"/>
      </a:sysClr>
    </cs:lnRef>
    <cs:fillRef idx="0"/>
    <cs:effectRef idx="0"/>
    <cs:fontRef idx="minor">
      <a:sysClr val="windowText" lastClr="000000"/>
    </cs:fontRef>
    <cs:spPr>
      <a:ln>
        <a:round/>
      </a:ln>
    </cs:spPr>
  </cs:floor>
  <cs:gridlineMajor>
    <cs:lnRef idx="1">
      <a:sysClr val="windowText" lastClr="000000">
        <a:tint val="75000"/>
      </a:sysClr>
    </cs:lnRef>
    <cs:fillRef idx="0"/>
    <cs:effectRef idx="0"/>
    <cs:fontRef idx="minor">
      <a:sysClr val="windowText" lastClr="000000"/>
    </cs:fontRef>
    <cs:spPr>
      <a:ln>
        <a:round/>
      </a:ln>
    </cs:spPr>
  </cs:gridlineMajor>
  <cs:gridlineMinor>
    <cs:lnRef idx="1">
      <a:sysClr val="windowText" lastClr="000000">
        <a:tint val="50000"/>
      </a:sysClr>
    </cs:lnRef>
    <cs:fillRef idx="0"/>
    <cs:effectRef idx="0"/>
    <cs:fontRef idx="minor">
      <a:sysClr val="windowText" lastClr="000000"/>
    </cs:fontRef>
    <cs:spPr>
      <a:ln>
        <a:round/>
      </a:ln>
    </cs:spPr>
  </cs:gridlineMinor>
  <cs:hiLoLine>
    <cs:lnRef idx="1">
      <a:sysClr val="windowText" lastClr="000000"/>
    </cs:lnRef>
    <cs:fillRef idx="0"/>
    <cs:effectRef idx="0"/>
    <cs:fontRef idx="minor">
      <a:sysClr val="windowText" lastClr="000000"/>
    </cs:fontRef>
    <cs:spPr>
      <a:ln>
        <a:round/>
      </a:ln>
    </cs:spPr>
  </cs:hiLoLine>
  <cs:leaderLine>
    <cs:lnRef idx="1">
      <a:sysClr val="windowText" lastClr="000000"/>
    </cs:lnRef>
    <cs:fillRef idx="0"/>
    <cs:effectRef idx="0"/>
    <cs:fontRef idx="minor">
      <a:sysClr val="windowText" lastClr="000000"/>
    </cs:fontRef>
    <cs:spPr>
      <a:ln>
        <a:round/>
      </a:ln>
    </cs:spPr>
  </cs:leaderLine>
  <cs:legend>
    <cs:lnRef idx="0"/>
    <cs:fillRef idx="0"/>
    <cs:effectRef idx="0"/>
    <cs:fontRef idx="minor">
      <a:sysClr val="windowText" lastClr="000000"/>
    </cs:fontRef>
    <cs:defRPr sz="1000" kern="1200"/>
  </cs:legend>
  <cs:plotArea mods="allowNoFillOverride allowNoLineOverride">
    <cs:lnRef idx="0"/>
    <cs:fillRef idx="1">
      <a:sysClr val="window" lastClr="FFFFFF"/>
    </cs:fillRef>
    <cs:effectRef idx="0"/>
    <cs:fontRef idx="minor">
      <a:sysClr val="windowText" lastClr="000000"/>
    </cs:fontRef>
  </cs:plotArea>
  <cs:plotArea3D>
    <cs:lnRef idx="0"/>
    <cs:fillRef idx="0"/>
    <cs:effectRef idx="0"/>
    <cs:fontRef idx="minor">
      <a:sysClr val="windowText" lastClr="000000"/>
    </cs:fontRef>
  </cs:plotArea3D>
  <cs:seriesAxis>
    <cs:lnRef idx="1">
      <a:sysClr val="windowText" lastClr="000000">
        <a:tint val="75000"/>
      </a:sysClr>
    </cs:lnRef>
    <cs:fillRef idx="0"/>
    <cs:effectRef idx="0"/>
    <cs:fontRef idx="minor">
      <a:sysClr val="windowText" lastClr="000000"/>
    </cs:fontRef>
    <cs:spPr>
      <a:ln>
        <a:round/>
      </a:ln>
    </cs:spPr>
    <cs:defRPr sz="1000" kern="1200"/>
  </cs:seriesAxis>
  <cs:seriesLine>
    <cs:lnRef idx="1">
      <a:sysClr val="windowText" lastClr="000000"/>
    </cs:lnRef>
    <cs:fillRef idx="0"/>
    <cs:effectRef idx="0"/>
    <cs:fontRef idx="minor">
      <a:sysClr val="windowText" lastClr="000000"/>
    </cs:fontRef>
    <cs:spPr>
      <a:ln>
        <a:round/>
      </a:ln>
    </cs:spPr>
  </cs:seriesLine>
  <cs:title>
    <cs:lnRef idx="0"/>
    <cs:fillRef idx="0"/>
    <cs:effectRef idx="0"/>
    <cs:fontRef idx="minor">
      <a:sysClr val="windowText" lastClr="000000"/>
    </cs:fontRef>
    <cs:defRPr sz="1800" b="1" kern="1200"/>
  </cs:title>
  <cs:trendline>
    <cs:lnRef idx="1">
      <a:sysClr val="windowText" lastClr="000000"/>
    </cs:lnRef>
    <cs:fillRef idx="0"/>
    <cs:effectRef idx="0"/>
    <cs:fontRef idx="minor">
      <a:sysClr val="windowText" lastClr="000000"/>
    </cs:fontRef>
    <cs:spPr>
      <a:ln cap="rnd">
        <a:round/>
      </a:ln>
    </cs:spPr>
  </cs:trendline>
  <cs:trendlineLabel>
    <cs:lnRef idx="0"/>
    <cs:fillRef idx="0"/>
    <cs:effectRef idx="0"/>
    <cs:fontRef idx="minor">
      <a:sysClr val="windowText" lastClr="000000"/>
    </cs:fontRef>
    <cs:defRPr sz="1000" kern="1200"/>
  </cs:trendlineLabel>
  <cs:upBar>
    <cs:lnRef idx="1">
      <a:sysClr val="windowText" lastClr="000000"/>
    </cs:lnRef>
    <cs:fillRef idx="1" mods="ignoreCSTransforms">
      <cs:styleClr val="0">
        <a:tint val="25000"/>
      </cs:styleClr>
    </cs:fillRef>
    <cs:effectRef idx="0"/>
    <cs:fontRef idx="minor">
      <a:sysClr val="windowText" lastClr="000000"/>
    </cs:fontRef>
    <cs:spPr>
      <a:ln>
        <a:round/>
      </a:ln>
    </cs:spPr>
  </cs:upBar>
  <cs:valueAxis>
    <cs:lnRef idx="1">
      <a:sysClr val="windowText" lastClr="000000">
        <a:tint val="75000"/>
      </a:sysClr>
    </cs:lnRef>
    <cs:fillRef idx="0"/>
    <cs:effectRef idx="0"/>
    <cs:fontRef idx="minor">
      <a:sysClr val="windowText" lastClr="000000"/>
    </cs:fontRef>
    <cs:spPr>
      <a:ln>
        <a:round/>
      </a:ln>
    </cs:spPr>
    <cs:defRPr sz="1000" kern="1200"/>
  </cs:valueAxis>
  <cs:wall>
    <cs:lnRef idx="0"/>
    <cs:fillRef idx="0"/>
    <cs:effectRef idx="0"/>
    <cs:fontRef idx="minor">
      <a:sysClr val="windowText" lastClr="000000"/>
    </cs:fontRef>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spPr>
      <a:solidFill>
        <a:schemeClr val="phClr"/>
      </a:solidFill>
    </cs:spPr>
  </cs:dataPoint>
  <cs:dataPoint3D>
    <cs:lnRef idx="0"/>
    <cs:fillRef idx="1">
      <cs:styleClr val="auto"/>
    </cs:fillRef>
    <cs:effectRef idx="0"/>
    <cs:fontRef idx="minor">
      <a:sysClr val="windowText" lastClr="000000"/>
    </cs:fontRef>
    <cs:spPr>
      <a:solidFill>
        <a:schemeClr val="phClr"/>
      </a:solidFill>
    </cs:spPr>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19.xml><?xml version="1.0" encoding="utf-8"?>
<cs:chartStyle xmlns:cs="http://schemas.microsoft.com/office/drawing/2012/chartStyle" xmlns:a="http://schemas.openxmlformats.org/drawingml/2006/main" id="107">
  <cs:axisTitle>
    <cs:lnRef idx="0"/>
    <cs:fillRef idx="0"/>
    <cs:effectRef idx="0"/>
    <cs:fontRef idx="minor">
      <a:sysClr val="windowText" lastClr="000000"/>
    </cs:fontRef>
    <cs:defRPr sz="1000" b="1" kern="1200"/>
  </cs:axisTitle>
  <cs:categoryAxis>
    <cs:lnRef idx="1">
      <a:sysClr val="windowText" lastClr="000000">
        <a:tint val="75000"/>
      </a:sysClr>
    </cs:lnRef>
    <cs:fillRef idx="0"/>
    <cs:effectRef idx="0"/>
    <cs:fontRef idx="minor">
      <a:sysClr val="windowText" lastClr="000000"/>
    </cs:fontRef>
    <cs:spPr>
      <a:ln>
        <a:round/>
      </a:ln>
    </cs:spPr>
    <cs:defRPr sz="1000" kern="1200"/>
  </cs:categoryAxis>
  <cs:chartArea mods="allowNoFillOverride allowNoLineOverride">
    <cs:lnRef idx="1">
      <a:sysClr val="windowText" lastClr="000000">
        <a:tint val="75000"/>
      </a:sysClr>
    </cs:lnRef>
    <cs:fillRef idx="1">
      <a:sysClr val="window" lastClr="FFFFFF"/>
    </cs:fillRef>
    <cs:effectRef idx="0"/>
    <cs:fontRef idx="minor">
      <a:sysClr val="windowText" lastClr="000000"/>
    </cs:fontRef>
    <cs:spPr>
      <a:ln>
        <a:round/>
      </a:ln>
    </cs:spPr>
    <cs:defRPr sz="1000" kern="1200"/>
  </cs:chartArea>
  <cs:dataLabel>
    <cs:lnRef idx="0"/>
    <cs:fillRef idx="0"/>
    <cs:effectRef idx="0"/>
    <cs:fontRef idx="minor">
      <a:sysClr val="windowText" lastClr="000000"/>
    </cs:fontRef>
    <cs:defRPr sz="1000" kern="1200"/>
  </cs:dataLabel>
  <cs:dataLabelCallout>
    <cs:lnRef idx="0"/>
    <cs:fillRef idx="0"/>
    <cs:effectRef idx="0"/>
    <cs:fontRef idx="minor">
      <a:sysClr val="windowText" lastClr="000000"/>
    </cs:fontRef>
    <cs:spPr>
      <a:solidFill>
        <a:sysClr val="window" lastClr="FFFFFF"/>
      </a:solidFill>
      <a:ln>
        <a:solidFill>
          <a:sysClr val="windowText" lastClr="000000">
            <a:lumMod val="65000"/>
            <a:lumOff val="35000"/>
          </a:sysClr>
        </a:solidFill>
      </a:ln>
    </cs:spPr>
    <cs:defRPr sz="1000" kern="1200"/>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1">
      <cs:styleClr val="auto"/>
    </cs:lnRef>
    <cs:lineWidthScale>3</cs:lineWidthScale>
    <cs:fillRef idx="0"/>
    <cs:effectRef idx="0"/>
    <cs:fontRef idx="minor">
      <a:sysClr val="windowText" lastClr="000000"/>
    </cs:fontRef>
    <cs:spPr>
      <a:ln cap="rnd">
        <a:round/>
      </a:ln>
    </cs:spPr>
  </cs:dataPointLine>
  <cs:dataPointMarker>
    <cs:lnRef idx="1">
      <cs:styleClr val="auto"/>
    </cs:lnRef>
    <cs:fillRef idx="1">
      <cs:styleClr val="auto"/>
    </cs:fillRef>
    <cs:effectRef idx="0"/>
    <cs:fontRef idx="minor">
      <a:sysClr val="windowText" lastClr="000000"/>
    </cs:fontRef>
    <cs:spPr>
      <a:ln>
        <a:round/>
      </a:ln>
    </cs:spPr>
  </cs:dataPointMarker>
  <cs:dataPointMarkerLayout/>
  <cs:dataPointWireframe>
    <cs:lnRef idx="1">
      <cs:styleClr val="auto"/>
    </cs:lnRef>
    <cs:fillRef idx="0"/>
    <cs:effectRef idx="0"/>
    <cs:fontRef idx="minor">
      <a:sysClr val="windowText" lastClr="000000"/>
    </cs:fontRef>
    <cs:spPr>
      <a:ln>
        <a:round/>
      </a:ln>
    </cs:spPr>
  </cs:dataPointWireframe>
  <cs:dataTable>
    <cs:lnRef idx="1">
      <a:sysClr val="windowText" lastClr="000000">
        <a:tint val="75000"/>
      </a:sysClr>
    </cs:lnRef>
    <cs:fillRef idx="0"/>
    <cs:effectRef idx="0"/>
    <cs:fontRef idx="minor">
      <a:sysClr val="windowText" lastClr="000000"/>
    </cs:fontRef>
    <cs:spPr>
      <a:ln>
        <a:round/>
      </a:ln>
    </cs:spPr>
    <cs:defRPr sz="1000" kern="1200"/>
  </cs:dataTable>
  <cs:downBar>
    <cs:lnRef idx="1">
      <a:sysClr val="windowText" lastClr="000000"/>
    </cs:lnRef>
    <cs:fillRef idx="1" mods="ignoreCSTransforms">
      <cs:styleClr val="0">
        <a:shade val="25000"/>
      </cs:styleClr>
    </cs:fillRef>
    <cs:effectRef idx="0"/>
    <cs:fontRef idx="minor">
      <a:sysClr val="windowText" lastClr="000000"/>
    </cs:fontRef>
    <cs:spPr>
      <a:ln>
        <a:round/>
      </a:ln>
    </cs:spPr>
  </cs:downBar>
  <cs:dropLine>
    <cs:lnRef idx="1">
      <a:sysClr val="windowText" lastClr="000000"/>
    </cs:lnRef>
    <cs:fillRef idx="0"/>
    <cs:effectRef idx="0"/>
    <cs:fontRef idx="minor">
      <a:sysClr val="windowText" lastClr="000000"/>
    </cs:fontRef>
    <cs:spPr>
      <a:ln>
        <a:round/>
      </a:ln>
    </cs:spPr>
  </cs:dropLine>
  <cs:errorBar>
    <cs:lnRef idx="1">
      <a:sysClr val="windowText" lastClr="000000"/>
    </cs:lnRef>
    <cs:fillRef idx="1">
      <a:sysClr val="windowText" lastClr="000000"/>
    </cs:fillRef>
    <cs:effectRef idx="0"/>
    <cs:fontRef idx="minor">
      <a:sysClr val="windowText" lastClr="000000"/>
    </cs:fontRef>
    <cs:spPr>
      <a:ln>
        <a:round/>
      </a:ln>
    </cs:spPr>
  </cs:errorBar>
  <cs:floor>
    <cs:lnRef idx="1">
      <a:sysClr val="windowText" lastClr="000000">
        <a:tint val="75000"/>
      </a:sysClr>
    </cs:lnRef>
    <cs:fillRef idx="0"/>
    <cs:effectRef idx="0"/>
    <cs:fontRef idx="minor">
      <a:sysClr val="windowText" lastClr="000000"/>
    </cs:fontRef>
    <cs:spPr>
      <a:ln>
        <a:round/>
      </a:ln>
    </cs:spPr>
  </cs:floor>
  <cs:gridlineMajor>
    <cs:lnRef idx="1">
      <a:sysClr val="windowText" lastClr="000000">
        <a:tint val="75000"/>
      </a:sysClr>
    </cs:lnRef>
    <cs:fillRef idx="0"/>
    <cs:effectRef idx="0"/>
    <cs:fontRef idx="minor">
      <a:sysClr val="windowText" lastClr="000000"/>
    </cs:fontRef>
    <cs:spPr>
      <a:ln>
        <a:round/>
      </a:ln>
    </cs:spPr>
  </cs:gridlineMajor>
  <cs:gridlineMinor>
    <cs:lnRef idx="1">
      <a:sysClr val="windowText" lastClr="000000">
        <a:tint val="50000"/>
      </a:sysClr>
    </cs:lnRef>
    <cs:fillRef idx="0"/>
    <cs:effectRef idx="0"/>
    <cs:fontRef idx="minor">
      <a:sysClr val="windowText" lastClr="000000"/>
    </cs:fontRef>
    <cs:spPr>
      <a:ln>
        <a:round/>
      </a:ln>
    </cs:spPr>
  </cs:gridlineMinor>
  <cs:hiLoLine>
    <cs:lnRef idx="1">
      <a:sysClr val="windowText" lastClr="000000"/>
    </cs:lnRef>
    <cs:fillRef idx="0"/>
    <cs:effectRef idx="0"/>
    <cs:fontRef idx="minor">
      <a:sysClr val="windowText" lastClr="000000"/>
    </cs:fontRef>
    <cs:spPr>
      <a:ln>
        <a:round/>
      </a:ln>
    </cs:spPr>
  </cs:hiLoLine>
  <cs:leaderLine>
    <cs:lnRef idx="1">
      <a:sysClr val="windowText" lastClr="000000"/>
    </cs:lnRef>
    <cs:fillRef idx="0"/>
    <cs:effectRef idx="0"/>
    <cs:fontRef idx="minor">
      <a:sysClr val="windowText" lastClr="000000"/>
    </cs:fontRef>
    <cs:spPr>
      <a:ln>
        <a:round/>
      </a:ln>
    </cs:spPr>
  </cs:leaderLine>
  <cs:legend>
    <cs:lnRef idx="0"/>
    <cs:fillRef idx="0"/>
    <cs:effectRef idx="0"/>
    <cs:fontRef idx="minor">
      <a:sysClr val="windowText" lastClr="000000"/>
    </cs:fontRef>
    <cs:defRPr sz="1000" kern="1200"/>
  </cs:legend>
  <cs:plotArea mods="allowNoFillOverride allowNoLineOverride">
    <cs:lnRef idx="0"/>
    <cs:fillRef idx="1">
      <a:sysClr val="window" lastClr="FFFFFF"/>
    </cs:fillRef>
    <cs:effectRef idx="0"/>
    <cs:fontRef idx="minor">
      <a:sysClr val="windowText" lastClr="000000"/>
    </cs:fontRef>
  </cs:plotArea>
  <cs:plotArea3D>
    <cs:lnRef idx="0"/>
    <cs:fillRef idx="0"/>
    <cs:effectRef idx="0"/>
    <cs:fontRef idx="minor">
      <a:sysClr val="windowText" lastClr="000000"/>
    </cs:fontRef>
  </cs:plotArea3D>
  <cs:seriesAxis>
    <cs:lnRef idx="1">
      <a:sysClr val="windowText" lastClr="000000">
        <a:tint val="75000"/>
      </a:sysClr>
    </cs:lnRef>
    <cs:fillRef idx="0"/>
    <cs:effectRef idx="0"/>
    <cs:fontRef idx="minor">
      <a:sysClr val="windowText" lastClr="000000"/>
    </cs:fontRef>
    <cs:spPr>
      <a:ln>
        <a:round/>
      </a:ln>
    </cs:spPr>
    <cs:defRPr sz="1000" kern="1200"/>
  </cs:seriesAxis>
  <cs:seriesLine>
    <cs:lnRef idx="1">
      <a:sysClr val="windowText" lastClr="000000"/>
    </cs:lnRef>
    <cs:fillRef idx="0"/>
    <cs:effectRef idx="0"/>
    <cs:fontRef idx="minor">
      <a:sysClr val="windowText" lastClr="000000"/>
    </cs:fontRef>
    <cs:spPr>
      <a:ln>
        <a:round/>
      </a:ln>
    </cs:spPr>
  </cs:seriesLine>
  <cs:title>
    <cs:lnRef idx="0"/>
    <cs:fillRef idx="0"/>
    <cs:effectRef idx="0"/>
    <cs:fontRef idx="minor">
      <a:sysClr val="windowText" lastClr="000000"/>
    </cs:fontRef>
    <cs:defRPr sz="1800" b="1" kern="1200"/>
  </cs:title>
  <cs:trendline>
    <cs:lnRef idx="1">
      <a:sysClr val="windowText" lastClr="000000"/>
    </cs:lnRef>
    <cs:fillRef idx="0"/>
    <cs:effectRef idx="0"/>
    <cs:fontRef idx="minor">
      <a:sysClr val="windowText" lastClr="000000"/>
    </cs:fontRef>
    <cs:spPr>
      <a:ln cap="rnd">
        <a:round/>
      </a:ln>
    </cs:spPr>
  </cs:trendline>
  <cs:trendlineLabel>
    <cs:lnRef idx="0"/>
    <cs:fillRef idx="0"/>
    <cs:effectRef idx="0"/>
    <cs:fontRef idx="minor">
      <a:sysClr val="windowText" lastClr="000000"/>
    </cs:fontRef>
    <cs:defRPr sz="1000" kern="1200"/>
  </cs:trendlineLabel>
  <cs:upBar>
    <cs:lnRef idx="1">
      <a:sysClr val="windowText" lastClr="000000"/>
    </cs:lnRef>
    <cs:fillRef idx="1" mods="ignoreCSTransforms">
      <cs:styleClr val="0">
        <a:tint val="25000"/>
      </cs:styleClr>
    </cs:fillRef>
    <cs:effectRef idx="0"/>
    <cs:fontRef idx="minor">
      <a:sysClr val="windowText" lastClr="000000"/>
    </cs:fontRef>
    <cs:spPr>
      <a:ln>
        <a:round/>
      </a:ln>
    </cs:spPr>
  </cs:upBar>
  <cs:valueAxis>
    <cs:lnRef idx="1">
      <a:sysClr val="windowText" lastClr="000000">
        <a:tint val="75000"/>
      </a:sysClr>
    </cs:lnRef>
    <cs:fillRef idx="0"/>
    <cs:effectRef idx="0"/>
    <cs:fontRef idx="minor">
      <a:sysClr val="windowText" lastClr="000000"/>
    </cs:fontRef>
    <cs:spPr>
      <a:ln>
        <a:round/>
      </a:ln>
    </cs:spPr>
    <cs:defRPr sz="1000" kern="1200"/>
  </cs:valueAxis>
  <cs:wall>
    <cs:lnRef idx="0"/>
    <cs:fillRef idx="0"/>
    <cs:effectRef idx="0"/>
    <cs:fontRef idx="minor">
      <a:sysClr val="windowText" lastClr="000000"/>
    </cs:fontRef>
  </cs:wall>
</cs:chartStyle>
</file>

<file path=word/charts/style2.xml><?xml version="1.0" encoding="utf-8"?>
<cs:chartStyle xmlns:cs="http://schemas.microsoft.com/office/drawing/2012/chartStyle" xmlns:a="http://schemas.openxmlformats.org/drawingml/2006/main" id="1012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10800000" scaled="0"/>
      </a:gradFill>
      <a:ln>
        <a:gradFill>
          <a:gsLst>
            <a:gs pos="0">
              <a:schemeClr val="phClr"/>
            </a:gs>
            <a:gs pos="100000">
              <a:schemeClr val="phClr">
                <a:lumMod val="75000"/>
              </a:schemeClr>
            </a:gs>
          </a:gsLst>
          <a:lin ang="10800000" scaled="0"/>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107">
  <cs:axisTitle>
    <cs:lnRef idx="0"/>
    <cs:fillRef idx="0"/>
    <cs:effectRef idx="0"/>
    <cs:fontRef idx="minor">
      <a:sysClr val="windowText" lastClr="000000"/>
    </cs:fontRef>
    <cs:defRPr sz="1000" b="1" kern="1200"/>
  </cs:axisTitle>
  <cs:categoryAxis>
    <cs:lnRef idx="1">
      <a:sysClr val="windowText" lastClr="000000">
        <a:tint val="75000"/>
      </a:sysClr>
    </cs:lnRef>
    <cs:fillRef idx="0"/>
    <cs:effectRef idx="0"/>
    <cs:fontRef idx="minor">
      <a:sysClr val="windowText" lastClr="000000"/>
    </cs:fontRef>
    <cs:spPr>
      <a:ln>
        <a:round/>
      </a:ln>
    </cs:spPr>
    <cs:defRPr sz="1000" kern="1200"/>
  </cs:categoryAxis>
  <cs:chartArea mods="allowNoFillOverride allowNoLineOverride">
    <cs:lnRef idx="1">
      <a:sysClr val="windowText" lastClr="000000">
        <a:tint val="75000"/>
      </a:sysClr>
    </cs:lnRef>
    <cs:fillRef idx="1">
      <a:sysClr val="window" lastClr="FFFFFF"/>
    </cs:fillRef>
    <cs:effectRef idx="0"/>
    <cs:fontRef idx="minor">
      <a:sysClr val="windowText" lastClr="000000"/>
    </cs:fontRef>
    <cs:spPr>
      <a:ln>
        <a:round/>
      </a:ln>
    </cs:spPr>
    <cs:defRPr sz="1000" kern="1200"/>
  </cs:chartArea>
  <cs:dataLabel>
    <cs:lnRef idx="0"/>
    <cs:fillRef idx="0"/>
    <cs:effectRef idx="0"/>
    <cs:fontRef idx="minor">
      <a:sysClr val="windowText" lastClr="000000"/>
    </cs:fontRef>
    <cs:defRPr sz="1000" kern="1200"/>
  </cs:dataLabel>
  <cs:dataLabelCallout>
    <cs:lnRef idx="0"/>
    <cs:fillRef idx="0"/>
    <cs:effectRef idx="0"/>
    <cs:fontRef idx="minor">
      <a:sysClr val="windowText" lastClr="000000"/>
    </cs:fontRef>
    <cs:spPr>
      <a:solidFill>
        <a:sysClr val="window" lastClr="FFFFFF"/>
      </a:solidFill>
      <a:ln>
        <a:solidFill>
          <a:sysClr val="windowText" lastClr="000000">
            <a:lumMod val="65000"/>
            <a:lumOff val="35000"/>
          </a:sysClr>
        </a:solidFill>
      </a:ln>
    </cs:spPr>
    <cs:defRPr sz="1000" kern="1200"/>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1">
      <cs:styleClr val="auto"/>
    </cs:lnRef>
    <cs:lineWidthScale>3</cs:lineWidthScale>
    <cs:fillRef idx="0"/>
    <cs:effectRef idx="0"/>
    <cs:fontRef idx="minor">
      <a:sysClr val="windowText" lastClr="000000"/>
    </cs:fontRef>
    <cs:spPr>
      <a:ln cap="rnd">
        <a:round/>
      </a:ln>
    </cs:spPr>
  </cs:dataPointLine>
  <cs:dataPointMarker>
    <cs:lnRef idx="1">
      <cs:styleClr val="auto"/>
    </cs:lnRef>
    <cs:fillRef idx="1">
      <cs:styleClr val="auto"/>
    </cs:fillRef>
    <cs:effectRef idx="0"/>
    <cs:fontRef idx="minor">
      <a:sysClr val="windowText" lastClr="000000"/>
    </cs:fontRef>
    <cs:spPr>
      <a:ln>
        <a:round/>
      </a:ln>
    </cs:spPr>
  </cs:dataPointMarker>
  <cs:dataPointMarkerLayout/>
  <cs:dataPointWireframe>
    <cs:lnRef idx="1">
      <cs:styleClr val="auto"/>
    </cs:lnRef>
    <cs:fillRef idx="0"/>
    <cs:effectRef idx="0"/>
    <cs:fontRef idx="minor">
      <a:sysClr val="windowText" lastClr="000000"/>
    </cs:fontRef>
    <cs:spPr>
      <a:ln>
        <a:round/>
      </a:ln>
    </cs:spPr>
  </cs:dataPointWireframe>
  <cs:dataTable>
    <cs:lnRef idx="1">
      <a:sysClr val="windowText" lastClr="000000">
        <a:tint val="75000"/>
      </a:sysClr>
    </cs:lnRef>
    <cs:fillRef idx="0"/>
    <cs:effectRef idx="0"/>
    <cs:fontRef idx="minor">
      <a:sysClr val="windowText" lastClr="000000"/>
    </cs:fontRef>
    <cs:spPr>
      <a:ln>
        <a:round/>
      </a:ln>
    </cs:spPr>
    <cs:defRPr sz="1000" kern="1200"/>
  </cs:dataTable>
  <cs:downBar>
    <cs:lnRef idx="1">
      <a:sysClr val="windowText" lastClr="000000"/>
    </cs:lnRef>
    <cs:fillRef idx="1" mods="ignoreCSTransforms">
      <cs:styleClr val="0">
        <a:shade val="25000"/>
      </cs:styleClr>
    </cs:fillRef>
    <cs:effectRef idx="0"/>
    <cs:fontRef idx="minor">
      <a:sysClr val="windowText" lastClr="000000"/>
    </cs:fontRef>
    <cs:spPr>
      <a:ln>
        <a:round/>
      </a:ln>
    </cs:spPr>
  </cs:downBar>
  <cs:dropLine>
    <cs:lnRef idx="1">
      <a:sysClr val="windowText" lastClr="000000"/>
    </cs:lnRef>
    <cs:fillRef idx="0"/>
    <cs:effectRef idx="0"/>
    <cs:fontRef idx="minor">
      <a:sysClr val="windowText" lastClr="000000"/>
    </cs:fontRef>
    <cs:spPr>
      <a:ln>
        <a:round/>
      </a:ln>
    </cs:spPr>
  </cs:dropLine>
  <cs:errorBar>
    <cs:lnRef idx="1">
      <a:sysClr val="windowText" lastClr="000000"/>
    </cs:lnRef>
    <cs:fillRef idx="1">
      <a:sysClr val="windowText" lastClr="000000"/>
    </cs:fillRef>
    <cs:effectRef idx="0"/>
    <cs:fontRef idx="minor">
      <a:sysClr val="windowText" lastClr="000000"/>
    </cs:fontRef>
    <cs:spPr>
      <a:ln>
        <a:round/>
      </a:ln>
    </cs:spPr>
  </cs:errorBar>
  <cs:floor>
    <cs:lnRef idx="1">
      <a:sysClr val="windowText" lastClr="000000">
        <a:tint val="75000"/>
      </a:sysClr>
    </cs:lnRef>
    <cs:fillRef idx="0"/>
    <cs:effectRef idx="0"/>
    <cs:fontRef idx="minor">
      <a:sysClr val="windowText" lastClr="000000"/>
    </cs:fontRef>
    <cs:spPr>
      <a:ln>
        <a:round/>
      </a:ln>
    </cs:spPr>
  </cs:floor>
  <cs:gridlineMajor>
    <cs:lnRef idx="1">
      <a:sysClr val="windowText" lastClr="000000">
        <a:tint val="75000"/>
      </a:sysClr>
    </cs:lnRef>
    <cs:fillRef idx="0"/>
    <cs:effectRef idx="0"/>
    <cs:fontRef idx="minor">
      <a:sysClr val="windowText" lastClr="000000"/>
    </cs:fontRef>
    <cs:spPr>
      <a:ln>
        <a:round/>
      </a:ln>
    </cs:spPr>
  </cs:gridlineMajor>
  <cs:gridlineMinor>
    <cs:lnRef idx="1">
      <a:sysClr val="windowText" lastClr="000000">
        <a:tint val="50000"/>
      </a:sysClr>
    </cs:lnRef>
    <cs:fillRef idx="0"/>
    <cs:effectRef idx="0"/>
    <cs:fontRef idx="minor">
      <a:sysClr val="windowText" lastClr="000000"/>
    </cs:fontRef>
    <cs:spPr>
      <a:ln>
        <a:round/>
      </a:ln>
    </cs:spPr>
  </cs:gridlineMinor>
  <cs:hiLoLine>
    <cs:lnRef idx="1">
      <a:sysClr val="windowText" lastClr="000000"/>
    </cs:lnRef>
    <cs:fillRef idx="0"/>
    <cs:effectRef idx="0"/>
    <cs:fontRef idx="minor">
      <a:sysClr val="windowText" lastClr="000000"/>
    </cs:fontRef>
    <cs:spPr>
      <a:ln>
        <a:round/>
      </a:ln>
    </cs:spPr>
  </cs:hiLoLine>
  <cs:leaderLine>
    <cs:lnRef idx="1">
      <a:sysClr val="windowText" lastClr="000000"/>
    </cs:lnRef>
    <cs:fillRef idx="0"/>
    <cs:effectRef idx="0"/>
    <cs:fontRef idx="minor">
      <a:sysClr val="windowText" lastClr="000000"/>
    </cs:fontRef>
    <cs:spPr>
      <a:ln>
        <a:round/>
      </a:ln>
    </cs:spPr>
  </cs:leaderLine>
  <cs:legend>
    <cs:lnRef idx="0"/>
    <cs:fillRef idx="0"/>
    <cs:effectRef idx="0"/>
    <cs:fontRef idx="minor">
      <a:sysClr val="windowText" lastClr="000000"/>
    </cs:fontRef>
    <cs:defRPr sz="1000" kern="1200"/>
  </cs:legend>
  <cs:plotArea mods="allowNoFillOverride allowNoLineOverride">
    <cs:lnRef idx="0"/>
    <cs:fillRef idx="1">
      <a:sysClr val="window" lastClr="FFFFFF"/>
    </cs:fillRef>
    <cs:effectRef idx="0"/>
    <cs:fontRef idx="minor">
      <a:sysClr val="windowText" lastClr="000000"/>
    </cs:fontRef>
  </cs:plotArea>
  <cs:plotArea3D>
    <cs:lnRef idx="0"/>
    <cs:fillRef idx="0"/>
    <cs:effectRef idx="0"/>
    <cs:fontRef idx="minor">
      <a:sysClr val="windowText" lastClr="000000"/>
    </cs:fontRef>
  </cs:plotArea3D>
  <cs:seriesAxis>
    <cs:lnRef idx="1">
      <a:sysClr val="windowText" lastClr="000000">
        <a:tint val="75000"/>
      </a:sysClr>
    </cs:lnRef>
    <cs:fillRef idx="0"/>
    <cs:effectRef idx="0"/>
    <cs:fontRef idx="minor">
      <a:sysClr val="windowText" lastClr="000000"/>
    </cs:fontRef>
    <cs:spPr>
      <a:ln>
        <a:round/>
      </a:ln>
    </cs:spPr>
    <cs:defRPr sz="1000" kern="1200"/>
  </cs:seriesAxis>
  <cs:seriesLine>
    <cs:lnRef idx="1">
      <a:sysClr val="windowText" lastClr="000000"/>
    </cs:lnRef>
    <cs:fillRef idx="0"/>
    <cs:effectRef idx="0"/>
    <cs:fontRef idx="minor">
      <a:sysClr val="windowText" lastClr="000000"/>
    </cs:fontRef>
    <cs:spPr>
      <a:ln>
        <a:round/>
      </a:ln>
    </cs:spPr>
  </cs:seriesLine>
  <cs:title>
    <cs:lnRef idx="0"/>
    <cs:fillRef idx="0"/>
    <cs:effectRef idx="0"/>
    <cs:fontRef idx="minor">
      <a:sysClr val="windowText" lastClr="000000"/>
    </cs:fontRef>
    <cs:defRPr sz="1800" b="1" kern="1200"/>
  </cs:title>
  <cs:trendline>
    <cs:lnRef idx="1">
      <a:sysClr val="windowText" lastClr="000000"/>
    </cs:lnRef>
    <cs:fillRef idx="0"/>
    <cs:effectRef idx="0"/>
    <cs:fontRef idx="minor">
      <a:sysClr val="windowText" lastClr="000000"/>
    </cs:fontRef>
    <cs:spPr>
      <a:ln cap="rnd">
        <a:round/>
      </a:ln>
    </cs:spPr>
  </cs:trendline>
  <cs:trendlineLabel>
    <cs:lnRef idx="0"/>
    <cs:fillRef idx="0"/>
    <cs:effectRef idx="0"/>
    <cs:fontRef idx="minor">
      <a:sysClr val="windowText" lastClr="000000"/>
    </cs:fontRef>
    <cs:defRPr sz="1000" kern="1200"/>
  </cs:trendlineLabel>
  <cs:upBar>
    <cs:lnRef idx="1">
      <a:sysClr val="windowText" lastClr="000000"/>
    </cs:lnRef>
    <cs:fillRef idx="1" mods="ignoreCSTransforms">
      <cs:styleClr val="0">
        <a:tint val="25000"/>
      </cs:styleClr>
    </cs:fillRef>
    <cs:effectRef idx="0"/>
    <cs:fontRef idx="minor">
      <a:sysClr val="windowText" lastClr="000000"/>
    </cs:fontRef>
    <cs:spPr>
      <a:ln>
        <a:round/>
      </a:ln>
    </cs:spPr>
  </cs:upBar>
  <cs:valueAxis>
    <cs:lnRef idx="1">
      <a:sysClr val="windowText" lastClr="000000">
        <a:tint val="75000"/>
      </a:sysClr>
    </cs:lnRef>
    <cs:fillRef idx="0"/>
    <cs:effectRef idx="0"/>
    <cs:fontRef idx="minor">
      <a:sysClr val="windowText" lastClr="000000"/>
    </cs:fontRef>
    <cs:spPr>
      <a:ln>
        <a:round/>
      </a:ln>
    </cs:spPr>
    <cs:defRPr sz="1000" kern="1200"/>
  </cs:valueAxis>
  <cs:wall>
    <cs:lnRef idx="0"/>
    <cs:fillRef idx="0"/>
    <cs:effectRef idx="0"/>
    <cs:fontRef idx="minor">
      <a:sysClr val="windowText" lastClr="000000"/>
    </cs:fontRef>
  </cs:wall>
</cs:chartStyle>
</file>

<file path=word/charts/style21.xml><?xml version="1.0" encoding="utf-8"?>
<cs:chartStyle xmlns:cs="http://schemas.microsoft.com/office/drawing/2012/chartStyle" xmlns:a="http://schemas.openxmlformats.org/drawingml/2006/main" id="107">
  <cs:axisTitle>
    <cs:lnRef idx="0"/>
    <cs:fillRef idx="0"/>
    <cs:effectRef idx="0"/>
    <cs:fontRef idx="minor">
      <a:sysClr val="windowText" lastClr="000000"/>
    </cs:fontRef>
    <cs:defRPr sz="1000" b="1" kern="1200"/>
  </cs:axisTitle>
  <cs:categoryAxis>
    <cs:lnRef idx="1">
      <a:sysClr val="windowText" lastClr="000000">
        <a:tint val="75000"/>
      </a:sysClr>
    </cs:lnRef>
    <cs:fillRef idx="0"/>
    <cs:effectRef idx="0"/>
    <cs:fontRef idx="minor">
      <a:sysClr val="windowText" lastClr="000000"/>
    </cs:fontRef>
    <cs:spPr>
      <a:ln>
        <a:round/>
      </a:ln>
    </cs:spPr>
    <cs:defRPr sz="1000" kern="1200"/>
  </cs:categoryAxis>
  <cs:chartArea mods="allowNoFillOverride allowNoLineOverride">
    <cs:lnRef idx="1">
      <a:sysClr val="windowText" lastClr="000000">
        <a:tint val="75000"/>
      </a:sysClr>
    </cs:lnRef>
    <cs:fillRef idx="1">
      <a:sysClr val="window" lastClr="FFFFFF"/>
    </cs:fillRef>
    <cs:effectRef idx="0"/>
    <cs:fontRef idx="minor">
      <a:sysClr val="windowText" lastClr="000000"/>
    </cs:fontRef>
    <cs:spPr>
      <a:ln>
        <a:round/>
      </a:ln>
    </cs:spPr>
    <cs:defRPr sz="1000" kern="1200"/>
  </cs:chartArea>
  <cs:dataLabel>
    <cs:lnRef idx="0"/>
    <cs:fillRef idx="0"/>
    <cs:effectRef idx="0"/>
    <cs:fontRef idx="minor">
      <a:sysClr val="windowText" lastClr="000000"/>
    </cs:fontRef>
    <cs:defRPr sz="1000" kern="1200"/>
  </cs:dataLabel>
  <cs:dataLabelCallout>
    <cs:lnRef idx="0"/>
    <cs:fillRef idx="0"/>
    <cs:effectRef idx="0"/>
    <cs:fontRef idx="minor">
      <a:sysClr val="windowText" lastClr="000000"/>
    </cs:fontRef>
    <cs:spPr>
      <a:solidFill>
        <a:sysClr val="window" lastClr="FFFFFF"/>
      </a:solidFill>
      <a:ln>
        <a:solidFill>
          <a:sysClr val="windowText" lastClr="000000">
            <a:lumMod val="65000"/>
            <a:lumOff val="35000"/>
          </a:sysClr>
        </a:solidFill>
      </a:ln>
    </cs:spPr>
    <cs:defRPr sz="1000" kern="1200"/>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1">
      <cs:styleClr val="auto"/>
    </cs:lnRef>
    <cs:lineWidthScale>3</cs:lineWidthScale>
    <cs:fillRef idx="0"/>
    <cs:effectRef idx="0"/>
    <cs:fontRef idx="minor">
      <a:sysClr val="windowText" lastClr="000000"/>
    </cs:fontRef>
    <cs:spPr>
      <a:ln cap="rnd">
        <a:round/>
      </a:ln>
    </cs:spPr>
  </cs:dataPointLine>
  <cs:dataPointMarker>
    <cs:lnRef idx="1">
      <cs:styleClr val="auto"/>
    </cs:lnRef>
    <cs:fillRef idx="1">
      <cs:styleClr val="auto"/>
    </cs:fillRef>
    <cs:effectRef idx="0"/>
    <cs:fontRef idx="minor">
      <a:sysClr val="windowText" lastClr="000000"/>
    </cs:fontRef>
    <cs:spPr>
      <a:ln>
        <a:round/>
      </a:ln>
    </cs:spPr>
  </cs:dataPointMarker>
  <cs:dataPointMarkerLayout/>
  <cs:dataPointWireframe>
    <cs:lnRef idx="1">
      <cs:styleClr val="auto"/>
    </cs:lnRef>
    <cs:fillRef idx="0"/>
    <cs:effectRef idx="0"/>
    <cs:fontRef idx="minor">
      <a:sysClr val="windowText" lastClr="000000"/>
    </cs:fontRef>
    <cs:spPr>
      <a:ln>
        <a:round/>
      </a:ln>
    </cs:spPr>
  </cs:dataPointWireframe>
  <cs:dataTable>
    <cs:lnRef idx="1">
      <a:sysClr val="windowText" lastClr="000000">
        <a:tint val="75000"/>
      </a:sysClr>
    </cs:lnRef>
    <cs:fillRef idx="0"/>
    <cs:effectRef idx="0"/>
    <cs:fontRef idx="minor">
      <a:sysClr val="windowText" lastClr="000000"/>
    </cs:fontRef>
    <cs:spPr>
      <a:ln>
        <a:round/>
      </a:ln>
    </cs:spPr>
    <cs:defRPr sz="1000" kern="1200"/>
  </cs:dataTable>
  <cs:downBar>
    <cs:lnRef idx="1">
      <a:sysClr val="windowText" lastClr="000000"/>
    </cs:lnRef>
    <cs:fillRef idx="1" mods="ignoreCSTransforms">
      <cs:styleClr val="0">
        <a:shade val="25000"/>
      </cs:styleClr>
    </cs:fillRef>
    <cs:effectRef idx="0"/>
    <cs:fontRef idx="minor">
      <a:sysClr val="windowText" lastClr="000000"/>
    </cs:fontRef>
    <cs:spPr>
      <a:ln>
        <a:round/>
      </a:ln>
    </cs:spPr>
  </cs:downBar>
  <cs:dropLine>
    <cs:lnRef idx="1">
      <a:sysClr val="windowText" lastClr="000000"/>
    </cs:lnRef>
    <cs:fillRef idx="0"/>
    <cs:effectRef idx="0"/>
    <cs:fontRef idx="minor">
      <a:sysClr val="windowText" lastClr="000000"/>
    </cs:fontRef>
    <cs:spPr>
      <a:ln>
        <a:round/>
      </a:ln>
    </cs:spPr>
  </cs:dropLine>
  <cs:errorBar>
    <cs:lnRef idx="1">
      <a:sysClr val="windowText" lastClr="000000"/>
    </cs:lnRef>
    <cs:fillRef idx="1">
      <a:sysClr val="windowText" lastClr="000000"/>
    </cs:fillRef>
    <cs:effectRef idx="0"/>
    <cs:fontRef idx="minor">
      <a:sysClr val="windowText" lastClr="000000"/>
    </cs:fontRef>
    <cs:spPr>
      <a:ln>
        <a:round/>
      </a:ln>
    </cs:spPr>
  </cs:errorBar>
  <cs:floor>
    <cs:lnRef idx="1">
      <a:sysClr val="windowText" lastClr="000000">
        <a:tint val="75000"/>
      </a:sysClr>
    </cs:lnRef>
    <cs:fillRef idx="0"/>
    <cs:effectRef idx="0"/>
    <cs:fontRef idx="minor">
      <a:sysClr val="windowText" lastClr="000000"/>
    </cs:fontRef>
    <cs:spPr>
      <a:ln>
        <a:round/>
      </a:ln>
    </cs:spPr>
  </cs:floor>
  <cs:gridlineMajor>
    <cs:lnRef idx="1">
      <a:sysClr val="windowText" lastClr="000000">
        <a:tint val="75000"/>
      </a:sysClr>
    </cs:lnRef>
    <cs:fillRef idx="0"/>
    <cs:effectRef idx="0"/>
    <cs:fontRef idx="minor">
      <a:sysClr val="windowText" lastClr="000000"/>
    </cs:fontRef>
    <cs:spPr>
      <a:ln>
        <a:round/>
      </a:ln>
    </cs:spPr>
  </cs:gridlineMajor>
  <cs:gridlineMinor>
    <cs:lnRef idx="1">
      <a:sysClr val="windowText" lastClr="000000">
        <a:tint val="50000"/>
      </a:sysClr>
    </cs:lnRef>
    <cs:fillRef idx="0"/>
    <cs:effectRef idx="0"/>
    <cs:fontRef idx="minor">
      <a:sysClr val="windowText" lastClr="000000"/>
    </cs:fontRef>
    <cs:spPr>
      <a:ln>
        <a:round/>
      </a:ln>
    </cs:spPr>
  </cs:gridlineMinor>
  <cs:hiLoLine>
    <cs:lnRef idx="1">
      <a:sysClr val="windowText" lastClr="000000"/>
    </cs:lnRef>
    <cs:fillRef idx="0"/>
    <cs:effectRef idx="0"/>
    <cs:fontRef idx="minor">
      <a:sysClr val="windowText" lastClr="000000"/>
    </cs:fontRef>
    <cs:spPr>
      <a:ln>
        <a:round/>
      </a:ln>
    </cs:spPr>
  </cs:hiLoLine>
  <cs:leaderLine>
    <cs:lnRef idx="1">
      <a:sysClr val="windowText" lastClr="000000"/>
    </cs:lnRef>
    <cs:fillRef idx="0"/>
    <cs:effectRef idx="0"/>
    <cs:fontRef idx="minor">
      <a:sysClr val="windowText" lastClr="000000"/>
    </cs:fontRef>
    <cs:spPr>
      <a:ln>
        <a:round/>
      </a:ln>
    </cs:spPr>
  </cs:leaderLine>
  <cs:legend>
    <cs:lnRef idx="0"/>
    <cs:fillRef idx="0"/>
    <cs:effectRef idx="0"/>
    <cs:fontRef idx="minor">
      <a:sysClr val="windowText" lastClr="000000"/>
    </cs:fontRef>
    <cs:defRPr sz="1000" kern="1200"/>
  </cs:legend>
  <cs:plotArea mods="allowNoFillOverride allowNoLineOverride">
    <cs:lnRef idx="0"/>
    <cs:fillRef idx="1">
      <a:sysClr val="window" lastClr="FFFFFF"/>
    </cs:fillRef>
    <cs:effectRef idx="0"/>
    <cs:fontRef idx="minor">
      <a:sysClr val="windowText" lastClr="000000"/>
    </cs:fontRef>
  </cs:plotArea>
  <cs:plotArea3D>
    <cs:lnRef idx="0"/>
    <cs:fillRef idx="0"/>
    <cs:effectRef idx="0"/>
    <cs:fontRef idx="minor">
      <a:sysClr val="windowText" lastClr="000000"/>
    </cs:fontRef>
  </cs:plotArea3D>
  <cs:seriesAxis>
    <cs:lnRef idx="1">
      <a:sysClr val="windowText" lastClr="000000">
        <a:tint val="75000"/>
      </a:sysClr>
    </cs:lnRef>
    <cs:fillRef idx="0"/>
    <cs:effectRef idx="0"/>
    <cs:fontRef idx="minor">
      <a:sysClr val="windowText" lastClr="000000"/>
    </cs:fontRef>
    <cs:spPr>
      <a:ln>
        <a:round/>
      </a:ln>
    </cs:spPr>
    <cs:defRPr sz="1000" kern="1200"/>
  </cs:seriesAxis>
  <cs:seriesLine>
    <cs:lnRef idx="1">
      <a:sysClr val="windowText" lastClr="000000"/>
    </cs:lnRef>
    <cs:fillRef idx="0"/>
    <cs:effectRef idx="0"/>
    <cs:fontRef idx="minor">
      <a:sysClr val="windowText" lastClr="000000"/>
    </cs:fontRef>
    <cs:spPr>
      <a:ln>
        <a:round/>
      </a:ln>
    </cs:spPr>
  </cs:seriesLine>
  <cs:title>
    <cs:lnRef idx="0"/>
    <cs:fillRef idx="0"/>
    <cs:effectRef idx="0"/>
    <cs:fontRef idx="minor">
      <a:sysClr val="windowText" lastClr="000000"/>
    </cs:fontRef>
    <cs:defRPr sz="1800" b="1" kern="1200"/>
  </cs:title>
  <cs:trendline>
    <cs:lnRef idx="1">
      <a:sysClr val="windowText" lastClr="000000"/>
    </cs:lnRef>
    <cs:fillRef idx="0"/>
    <cs:effectRef idx="0"/>
    <cs:fontRef idx="minor">
      <a:sysClr val="windowText" lastClr="000000"/>
    </cs:fontRef>
    <cs:spPr>
      <a:ln cap="rnd">
        <a:round/>
      </a:ln>
    </cs:spPr>
  </cs:trendline>
  <cs:trendlineLabel>
    <cs:lnRef idx="0"/>
    <cs:fillRef idx="0"/>
    <cs:effectRef idx="0"/>
    <cs:fontRef idx="minor">
      <a:sysClr val="windowText" lastClr="000000"/>
    </cs:fontRef>
    <cs:defRPr sz="1000" kern="1200"/>
  </cs:trendlineLabel>
  <cs:upBar>
    <cs:lnRef idx="1">
      <a:sysClr val="windowText" lastClr="000000"/>
    </cs:lnRef>
    <cs:fillRef idx="1" mods="ignoreCSTransforms">
      <cs:styleClr val="0">
        <a:tint val="25000"/>
      </cs:styleClr>
    </cs:fillRef>
    <cs:effectRef idx="0"/>
    <cs:fontRef idx="minor">
      <a:sysClr val="windowText" lastClr="000000"/>
    </cs:fontRef>
    <cs:spPr>
      <a:ln>
        <a:round/>
      </a:ln>
    </cs:spPr>
  </cs:upBar>
  <cs:valueAxis>
    <cs:lnRef idx="1">
      <a:sysClr val="windowText" lastClr="000000">
        <a:tint val="75000"/>
      </a:sysClr>
    </cs:lnRef>
    <cs:fillRef idx="0"/>
    <cs:effectRef idx="0"/>
    <cs:fontRef idx="minor">
      <a:sysClr val="windowText" lastClr="000000"/>
    </cs:fontRef>
    <cs:spPr>
      <a:ln>
        <a:round/>
      </a:ln>
    </cs:spPr>
    <cs:defRPr sz="1000" kern="1200"/>
  </cs:valueAxis>
  <cs:wall>
    <cs:lnRef idx="0"/>
    <cs:fillRef idx="0"/>
    <cs:effectRef idx="0"/>
    <cs:fontRef idx="minor">
      <a:sysClr val="windowText" lastClr="000000"/>
    </cs:fontRef>
  </cs:wall>
</cs:chartStyle>
</file>

<file path=word/charts/style22.xml><?xml version="1.0" encoding="utf-8"?>
<cs:chartStyle xmlns:cs="http://schemas.microsoft.com/office/drawing/2012/chartStyle" xmlns:a="http://schemas.openxmlformats.org/drawingml/2006/main" id="107">
  <cs:axisTitle>
    <cs:lnRef idx="0"/>
    <cs:fillRef idx="0"/>
    <cs:effectRef idx="0"/>
    <cs:fontRef idx="minor">
      <a:sysClr val="windowText" lastClr="000000"/>
    </cs:fontRef>
    <cs:defRPr sz="1000" b="1" kern="1200"/>
  </cs:axisTitle>
  <cs:categoryAxis>
    <cs:lnRef idx="1">
      <a:sysClr val="windowText" lastClr="000000">
        <a:tint val="75000"/>
      </a:sysClr>
    </cs:lnRef>
    <cs:fillRef idx="0"/>
    <cs:effectRef idx="0"/>
    <cs:fontRef idx="minor">
      <a:sysClr val="windowText" lastClr="000000"/>
    </cs:fontRef>
    <cs:spPr>
      <a:ln>
        <a:round/>
      </a:ln>
    </cs:spPr>
    <cs:defRPr sz="1000" kern="1200"/>
  </cs:categoryAxis>
  <cs:chartArea mods="allowNoFillOverride allowNoLineOverride">
    <cs:lnRef idx="1">
      <a:sysClr val="windowText" lastClr="000000">
        <a:tint val="75000"/>
      </a:sysClr>
    </cs:lnRef>
    <cs:fillRef idx="1">
      <a:sysClr val="window" lastClr="FFFFFF"/>
    </cs:fillRef>
    <cs:effectRef idx="0"/>
    <cs:fontRef idx="minor">
      <a:sysClr val="windowText" lastClr="000000"/>
    </cs:fontRef>
    <cs:spPr>
      <a:ln>
        <a:round/>
      </a:ln>
    </cs:spPr>
    <cs:defRPr sz="1000" kern="1200"/>
  </cs:chartArea>
  <cs:dataLabel>
    <cs:lnRef idx="0"/>
    <cs:fillRef idx="0"/>
    <cs:effectRef idx="0"/>
    <cs:fontRef idx="minor">
      <a:sysClr val="windowText" lastClr="000000"/>
    </cs:fontRef>
    <cs:defRPr sz="1000" kern="1200"/>
  </cs:dataLabel>
  <cs:dataLabelCallout>
    <cs:lnRef idx="0"/>
    <cs:fillRef idx="0"/>
    <cs:effectRef idx="0"/>
    <cs:fontRef idx="minor">
      <a:sysClr val="windowText" lastClr="000000"/>
    </cs:fontRef>
    <cs:spPr>
      <a:solidFill>
        <a:sysClr val="window" lastClr="FFFFFF"/>
      </a:solidFill>
      <a:ln>
        <a:solidFill>
          <a:sysClr val="windowText" lastClr="000000">
            <a:lumMod val="65000"/>
            <a:lumOff val="35000"/>
          </a:sysClr>
        </a:solidFill>
      </a:ln>
    </cs:spPr>
    <cs:defRPr sz="1000" kern="1200"/>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1">
      <cs:styleClr val="auto"/>
    </cs:lnRef>
    <cs:lineWidthScale>3</cs:lineWidthScale>
    <cs:fillRef idx="0"/>
    <cs:effectRef idx="0"/>
    <cs:fontRef idx="minor">
      <a:sysClr val="windowText" lastClr="000000"/>
    </cs:fontRef>
    <cs:spPr>
      <a:ln cap="rnd">
        <a:round/>
      </a:ln>
    </cs:spPr>
  </cs:dataPointLine>
  <cs:dataPointMarker>
    <cs:lnRef idx="1">
      <cs:styleClr val="auto"/>
    </cs:lnRef>
    <cs:fillRef idx="1">
      <cs:styleClr val="auto"/>
    </cs:fillRef>
    <cs:effectRef idx="0"/>
    <cs:fontRef idx="minor">
      <a:sysClr val="windowText" lastClr="000000"/>
    </cs:fontRef>
    <cs:spPr>
      <a:ln>
        <a:round/>
      </a:ln>
    </cs:spPr>
  </cs:dataPointMarker>
  <cs:dataPointMarkerLayout/>
  <cs:dataPointWireframe>
    <cs:lnRef idx="1">
      <cs:styleClr val="auto"/>
    </cs:lnRef>
    <cs:fillRef idx="0"/>
    <cs:effectRef idx="0"/>
    <cs:fontRef idx="minor">
      <a:sysClr val="windowText" lastClr="000000"/>
    </cs:fontRef>
    <cs:spPr>
      <a:ln>
        <a:round/>
      </a:ln>
    </cs:spPr>
  </cs:dataPointWireframe>
  <cs:dataTable>
    <cs:lnRef idx="1">
      <a:sysClr val="windowText" lastClr="000000">
        <a:tint val="75000"/>
      </a:sysClr>
    </cs:lnRef>
    <cs:fillRef idx="0"/>
    <cs:effectRef idx="0"/>
    <cs:fontRef idx="minor">
      <a:sysClr val="windowText" lastClr="000000"/>
    </cs:fontRef>
    <cs:spPr>
      <a:ln>
        <a:round/>
      </a:ln>
    </cs:spPr>
    <cs:defRPr sz="1000" kern="1200"/>
  </cs:dataTable>
  <cs:downBar>
    <cs:lnRef idx="1">
      <a:sysClr val="windowText" lastClr="000000"/>
    </cs:lnRef>
    <cs:fillRef idx="1" mods="ignoreCSTransforms">
      <cs:styleClr val="0">
        <a:shade val="25000"/>
      </cs:styleClr>
    </cs:fillRef>
    <cs:effectRef idx="0"/>
    <cs:fontRef idx="minor">
      <a:sysClr val="windowText" lastClr="000000"/>
    </cs:fontRef>
    <cs:spPr>
      <a:ln>
        <a:round/>
      </a:ln>
    </cs:spPr>
  </cs:downBar>
  <cs:dropLine>
    <cs:lnRef idx="1">
      <a:sysClr val="windowText" lastClr="000000"/>
    </cs:lnRef>
    <cs:fillRef idx="0"/>
    <cs:effectRef idx="0"/>
    <cs:fontRef idx="minor">
      <a:sysClr val="windowText" lastClr="000000"/>
    </cs:fontRef>
    <cs:spPr>
      <a:ln>
        <a:round/>
      </a:ln>
    </cs:spPr>
  </cs:dropLine>
  <cs:errorBar>
    <cs:lnRef idx="1">
      <a:sysClr val="windowText" lastClr="000000"/>
    </cs:lnRef>
    <cs:fillRef idx="1">
      <a:sysClr val="windowText" lastClr="000000"/>
    </cs:fillRef>
    <cs:effectRef idx="0"/>
    <cs:fontRef idx="minor">
      <a:sysClr val="windowText" lastClr="000000"/>
    </cs:fontRef>
    <cs:spPr>
      <a:ln>
        <a:round/>
      </a:ln>
    </cs:spPr>
  </cs:errorBar>
  <cs:floor>
    <cs:lnRef idx="1">
      <a:sysClr val="windowText" lastClr="000000">
        <a:tint val="75000"/>
      </a:sysClr>
    </cs:lnRef>
    <cs:fillRef idx="0"/>
    <cs:effectRef idx="0"/>
    <cs:fontRef idx="minor">
      <a:sysClr val="windowText" lastClr="000000"/>
    </cs:fontRef>
    <cs:spPr>
      <a:ln>
        <a:round/>
      </a:ln>
    </cs:spPr>
  </cs:floor>
  <cs:gridlineMajor>
    <cs:lnRef idx="1">
      <a:sysClr val="windowText" lastClr="000000">
        <a:tint val="75000"/>
      </a:sysClr>
    </cs:lnRef>
    <cs:fillRef idx="0"/>
    <cs:effectRef idx="0"/>
    <cs:fontRef idx="minor">
      <a:sysClr val="windowText" lastClr="000000"/>
    </cs:fontRef>
    <cs:spPr>
      <a:ln>
        <a:round/>
      </a:ln>
    </cs:spPr>
  </cs:gridlineMajor>
  <cs:gridlineMinor>
    <cs:lnRef idx="1">
      <a:sysClr val="windowText" lastClr="000000">
        <a:tint val="50000"/>
      </a:sysClr>
    </cs:lnRef>
    <cs:fillRef idx="0"/>
    <cs:effectRef idx="0"/>
    <cs:fontRef idx="minor">
      <a:sysClr val="windowText" lastClr="000000"/>
    </cs:fontRef>
    <cs:spPr>
      <a:ln>
        <a:round/>
      </a:ln>
    </cs:spPr>
  </cs:gridlineMinor>
  <cs:hiLoLine>
    <cs:lnRef idx="1">
      <a:sysClr val="windowText" lastClr="000000"/>
    </cs:lnRef>
    <cs:fillRef idx="0"/>
    <cs:effectRef idx="0"/>
    <cs:fontRef idx="minor">
      <a:sysClr val="windowText" lastClr="000000"/>
    </cs:fontRef>
    <cs:spPr>
      <a:ln>
        <a:round/>
      </a:ln>
    </cs:spPr>
  </cs:hiLoLine>
  <cs:leaderLine>
    <cs:lnRef idx="1">
      <a:sysClr val="windowText" lastClr="000000"/>
    </cs:lnRef>
    <cs:fillRef idx="0"/>
    <cs:effectRef idx="0"/>
    <cs:fontRef idx="minor">
      <a:sysClr val="windowText" lastClr="000000"/>
    </cs:fontRef>
    <cs:spPr>
      <a:ln>
        <a:round/>
      </a:ln>
    </cs:spPr>
  </cs:leaderLine>
  <cs:legend>
    <cs:lnRef idx="0"/>
    <cs:fillRef idx="0"/>
    <cs:effectRef idx="0"/>
    <cs:fontRef idx="minor">
      <a:sysClr val="windowText" lastClr="000000"/>
    </cs:fontRef>
    <cs:defRPr sz="1000" kern="1200"/>
  </cs:legend>
  <cs:plotArea mods="allowNoFillOverride allowNoLineOverride">
    <cs:lnRef idx="0"/>
    <cs:fillRef idx="1">
      <a:sysClr val="window" lastClr="FFFFFF"/>
    </cs:fillRef>
    <cs:effectRef idx="0"/>
    <cs:fontRef idx="minor">
      <a:sysClr val="windowText" lastClr="000000"/>
    </cs:fontRef>
  </cs:plotArea>
  <cs:plotArea3D>
    <cs:lnRef idx="0"/>
    <cs:fillRef idx="0"/>
    <cs:effectRef idx="0"/>
    <cs:fontRef idx="minor">
      <a:sysClr val="windowText" lastClr="000000"/>
    </cs:fontRef>
  </cs:plotArea3D>
  <cs:seriesAxis>
    <cs:lnRef idx="1">
      <a:sysClr val="windowText" lastClr="000000">
        <a:tint val="75000"/>
      </a:sysClr>
    </cs:lnRef>
    <cs:fillRef idx="0"/>
    <cs:effectRef idx="0"/>
    <cs:fontRef idx="minor">
      <a:sysClr val="windowText" lastClr="000000"/>
    </cs:fontRef>
    <cs:spPr>
      <a:ln>
        <a:round/>
      </a:ln>
    </cs:spPr>
    <cs:defRPr sz="1000" kern="1200"/>
  </cs:seriesAxis>
  <cs:seriesLine>
    <cs:lnRef idx="1">
      <a:sysClr val="windowText" lastClr="000000"/>
    </cs:lnRef>
    <cs:fillRef idx="0"/>
    <cs:effectRef idx="0"/>
    <cs:fontRef idx="minor">
      <a:sysClr val="windowText" lastClr="000000"/>
    </cs:fontRef>
    <cs:spPr>
      <a:ln>
        <a:round/>
      </a:ln>
    </cs:spPr>
  </cs:seriesLine>
  <cs:title>
    <cs:lnRef idx="0"/>
    <cs:fillRef idx="0"/>
    <cs:effectRef idx="0"/>
    <cs:fontRef idx="minor">
      <a:sysClr val="windowText" lastClr="000000"/>
    </cs:fontRef>
    <cs:defRPr sz="1800" b="1" kern="1200"/>
  </cs:title>
  <cs:trendline>
    <cs:lnRef idx="1">
      <a:sysClr val="windowText" lastClr="000000"/>
    </cs:lnRef>
    <cs:fillRef idx="0"/>
    <cs:effectRef idx="0"/>
    <cs:fontRef idx="minor">
      <a:sysClr val="windowText" lastClr="000000"/>
    </cs:fontRef>
    <cs:spPr>
      <a:ln cap="rnd">
        <a:round/>
      </a:ln>
    </cs:spPr>
  </cs:trendline>
  <cs:trendlineLabel>
    <cs:lnRef idx="0"/>
    <cs:fillRef idx="0"/>
    <cs:effectRef idx="0"/>
    <cs:fontRef idx="minor">
      <a:sysClr val="windowText" lastClr="000000"/>
    </cs:fontRef>
    <cs:defRPr sz="1000" kern="1200"/>
  </cs:trendlineLabel>
  <cs:upBar>
    <cs:lnRef idx="1">
      <a:sysClr val="windowText" lastClr="000000"/>
    </cs:lnRef>
    <cs:fillRef idx="1" mods="ignoreCSTransforms">
      <cs:styleClr val="0">
        <a:tint val="25000"/>
      </cs:styleClr>
    </cs:fillRef>
    <cs:effectRef idx="0"/>
    <cs:fontRef idx="minor">
      <a:sysClr val="windowText" lastClr="000000"/>
    </cs:fontRef>
    <cs:spPr>
      <a:ln>
        <a:round/>
      </a:ln>
    </cs:spPr>
  </cs:upBar>
  <cs:valueAxis>
    <cs:lnRef idx="1">
      <a:sysClr val="windowText" lastClr="000000">
        <a:tint val="75000"/>
      </a:sysClr>
    </cs:lnRef>
    <cs:fillRef idx="0"/>
    <cs:effectRef idx="0"/>
    <cs:fontRef idx="minor">
      <a:sysClr val="windowText" lastClr="000000"/>
    </cs:fontRef>
    <cs:spPr>
      <a:ln>
        <a:round/>
      </a:ln>
    </cs:spPr>
    <cs:defRPr sz="1000" kern="1200"/>
  </cs:valueAxis>
  <cs:wall>
    <cs:lnRef idx="0"/>
    <cs:fillRef idx="0"/>
    <cs:effectRef idx="0"/>
    <cs:fontRef idx="minor">
      <a:sysClr val="windowText" lastClr="000000"/>
    </cs:fontRef>
  </cs:wall>
</cs:chartStyle>
</file>

<file path=word/charts/style23.xml><?xml version="1.0" encoding="utf-8"?>
<cs:chartStyle xmlns:cs="http://schemas.microsoft.com/office/drawing/2012/chartStyle" xmlns:a="http://schemas.openxmlformats.org/drawingml/2006/main" id="107">
  <cs:axisTitle>
    <cs:lnRef idx="0"/>
    <cs:fillRef idx="0"/>
    <cs:effectRef idx="0"/>
    <cs:fontRef idx="minor">
      <a:sysClr val="windowText" lastClr="000000"/>
    </cs:fontRef>
    <cs:defRPr sz="1000" b="1" kern="1200"/>
  </cs:axisTitle>
  <cs:categoryAxis>
    <cs:lnRef idx="1">
      <a:sysClr val="windowText" lastClr="000000">
        <a:tint val="75000"/>
      </a:sysClr>
    </cs:lnRef>
    <cs:fillRef idx="0"/>
    <cs:effectRef idx="0"/>
    <cs:fontRef idx="minor">
      <a:sysClr val="windowText" lastClr="000000"/>
    </cs:fontRef>
    <cs:spPr>
      <a:ln>
        <a:round/>
      </a:ln>
    </cs:spPr>
    <cs:defRPr sz="1000" kern="1200"/>
  </cs:categoryAxis>
  <cs:chartArea mods="allowNoFillOverride allowNoLineOverride">
    <cs:lnRef idx="1">
      <a:sysClr val="windowText" lastClr="000000">
        <a:tint val="75000"/>
      </a:sysClr>
    </cs:lnRef>
    <cs:fillRef idx="1">
      <a:sysClr val="window" lastClr="FFFFFF"/>
    </cs:fillRef>
    <cs:effectRef idx="0"/>
    <cs:fontRef idx="minor">
      <a:sysClr val="windowText" lastClr="000000"/>
    </cs:fontRef>
    <cs:spPr>
      <a:ln>
        <a:round/>
      </a:ln>
    </cs:spPr>
    <cs:defRPr sz="1000" kern="1200"/>
  </cs:chartArea>
  <cs:dataLabel>
    <cs:lnRef idx="0"/>
    <cs:fillRef idx="0"/>
    <cs:effectRef idx="0"/>
    <cs:fontRef idx="minor">
      <a:sysClr val="windowText" lastClr="000000"/>
    </cs:fontRef>
    <cs:defRPr sz="1000" kern="1200"/>
  </cs:dataLabel>
  <cs:dataLabelCallout>
    <cs:lnRef idx="0"/>
    <cs:fillRef idx="0"/>
    <cs:effectRef idx="0"/>
    <cs:fontRef idx="minor">
      <a:sysClr val="windowText" lastClr="000000"/>
    </cs:fontRef>
    <cs:spPr>
      <a:solidFill>
        <a:sysClr val="window" lastClr="FFFFFF"/>
      </a:solidFill>
      <a:ln>
        <a:solidFill>
          <a:sysClr val="windowText" lastClr="000000">
            <a:lumMod val="65000"/>
            <a:lumOff val="35000"/>
          </a:sysClr>
        </a:solidFill>
      </a:ln>
    </cs:spPr>
    <cs:defRPr sz="1000" kern="1200"/>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1">
      <cs:styleClr val="auto"/>
    </cs:lnRef>
    <cs:lineWidthScale>3</cs:lineWidthScale>
    <cs:fillRef idx="0"/>
    <cs:effectRef idx="0"/>
    <cs:fontRef idx="minor">
      <a:sysClr val="windowText" lastClr="000000"/>
    </cs:fontRef>
    <cs:spPr>
      <a:ln cap="rnd">
        <a:round/>
      </a:ln>
    </cs:spPr>
  </cs:dataPointLine>
  <cs:dataPointMarker>
    <cs:lnRef idx="1">
      <cs:styleClr val="auto"/>
    </cs:lnRef>
    <cs:fillRef idx="1">
      <cs:styleClr val="auto"/>
    </cs:fillRef>
    <cs:effectRef idx="0"/>
    <cs:fontRef idx="minor">
      <a:sysClr val="windowText" lastClr="000000"/>
    </cs:fontRef>
    <cs:spPr>
      <a:ln>
        <a:round/>
      </a:ln>
    </cs:spPr>
  </cs:dataPointMarker>
  <cs:dataPointMarkerLayout/>
  <cs:dataPointWireframe>
    <cs:lnRef idx="1">
      <cs:styleClr val="auto"/>
    </cs:lnRef>
    <cs:fillRef idx="0"/>
    <cs:effectRef idx="0"/>
    <cs:fontRef idx="minor">
      <a:sysClr val="windowText" lastClr="000000"/>
    </cs:fontRef>
    <cs:spPr>
      <a:ln>
        <a:round/>
      </a:ln>
    </cs:spPr>
  </cs:dataPointWireframe>
  <cs:dataTable>
    <cs:lnRef idx="1">
      <a:sysClr val="windowText" lastClr="000000">
        <a:tint val="75000"/>
      </a:sysClr>
    </cs:lnRef>
    <cs:fillRef idx="0"/>
    <cs:effectRef idx="0"/>
    <cs:fontRef idx="minor">
      <a:sysClr val="windowText" lastClr="000000"/>
    </cs:fontRef>
    <cs:spPr>
      <a:ln>
        <a:round/>
      </a:ln>
    </cs:spPr>
    <cs:defRPr sz="1000" kern="1200"/>
  </cs:dataTable>
  <cs:downBar>
    <cs:lnRef idx="1">
      <a:sysClr val="windowText" lastClr="000000"/>
    </cs:lnRef>
    <cs:fillRef idx="1" mods="ignoreCSTransforms">
      <cs:styleClr val="0">
        <a:shade val="25000"/>
      </cs:styleClr>
    </cs:fillRef>
    <cs:effectRef idx="0"/>
    <cs:fontRef idx="minor">
      <a:sysClr val="windowText" lastClr="000000"/>
    </cs:fontRef>
    <cs:spPr>
      <a:ln>
        <a:round/>
      </a:ln>
    </cs:spPr>
  </cs:downBar>
  <cs:dropLine>
    <cs:lnRef idx="1">
      <a:sysClr val="windowText" lastClr="000000"/>
    </cs:lnRef>
    <cs:fillRef idx="0"/>
    <cs:effectRef idx="0"/>
    <cs:fontRef idx="minor">
      <a:sysClr val="windowText" lastClr="000000"/>
    </cs:fontRef>
    <cs:spPr>
      <a:ln>
        <a:round/>
      </a:ln>
    </cs:spPr>
  </cs:dropLine>
  <cs:errorBar>
    <cs:lnRef idx="1">
      <a:sysClr val="windowText" lastClr="000000"/>
    </cs:lnRef>
    <cs:fillRef idx="1">
      <a:sysClr val="windowText" lastClr="000000"/>
    </cs:fillRef>
    <cs:effectRef idx="0"/>
    <cs:fontRef idx="minor">
      <a:sysClr val="windowText" lastClr="000000"/>
    </cs:fontRef>
    <cs:spPr>
      <a:ln>
        <a:round/>
      </a:ln>
    </cs:spPr>
  </cs:errorBar>
  <cs:floor>
    <cs:lnRef idx="1">
      <a:sysClr val="windowText" lastClr="000000">
        <a:tint val="75000"/>
      </a:sysClr>
    </cs:lnRef>
    <cs:fillRef idx="0"/>
    <cs:effectRef idx="0"/>
    <cs:fontRef idx="minor">
      <a:sysClr val="windowText" lastClr="000000"/>
    </cs:fontRef>
    <cs:spPr>
      <a:ln>
        <a:round/>
      </a:ln>
    </cs:spPr>
  </cs:floor>
  <cs:gridlineMajor>
    <cs:lnRef idx="1">
      <a:sysClr val="windowText" lastClr="000000">
        <a:tint val="75000"/>
      </a:sysClr>
    </cs:lnRef>
    <cs:fillRef idx="0"/>
    <cs:effectRef idx="0"/>
    <cs:fontRef idx="minor">
      <a:sysClr val="windowText" lastClr="000000"/>
    </cs:fontRef>
    <cs:spPr>
      <a:ln>
        <a:round/>
      </a:ln>
    </cs:spPr>
  </cs:gridlineMajor>
  <cs:gridlineMinor>
    <cs:lnRef idx="1">
      <a:sysClr val="windowText" lastClr="000000">
        <a:tint val="50000"/>
      </a:sysClr>
    </cs:lnRef>
    <cs:fillRef idx="0"/>
    <cs:effectRef idx="0"/>
    <cs:fontRef idx="minor">
      <a:sysClr val="windowText" lastClr="000000"/>
    </cs:fontRef>
    <cs:spPr>
      <a:ln>
        <a:round/>
      </a:ln>
    </cs:spPr>
  </cs:gridlineMinor>
  <cs:hiLoLine>
    <cs:lnRef idx="1">
      <a:sysClr val="windowText" lastClr="000000"/>
    </cs:lnRef>
    <cs:fillRef idx="0"/>
    <cs:effectRef idx="0"/>
    <cs:fontRef idx="minor">
      <a:sysClr val="windowText" lastClr="000000"/>
    </cs:fontRef>
    <cs:spPr>
      <a:ln>
        <a:round/>
      </a:ln>
    </cs:spPr>
  </cs:hiLoLine>
  <cs:leaderLine>
    <cs:lnRef idx="1">
      <a:sysClr val="windowText" lastClr="000000"/>
    </cs:lnRef>
    <cs:fillRef idx="0"/>
    <cs:effectRef idx="0"/>
    <cs:fontRef idx="minor">
      <a:sysClr val="windowText" lastClr="000000"/>
    </cs:fontRef>
    <cs:spPr>
      <a:ln>
        <a:round/>
      </a:ln>
    </cs:spPr>
  </cs:leaderLine>
  <cs:legend>
    <cs:lnRef idx="0"/>
    <cs:fillRef idx="0"/>
    <cs:effectRef idx="0"/>
    <cs:fontRef idx="minor">
      <a:sysClr val="windowText" lastClr="000000"/>
    </cs:fontRef>
    <cs:defRPr sz="1000" kern="1200"/>
  </cs:legend>
  <cs:plotArea mods="allowNoFillOverride allowNoLineOverride">
    <cs:lnRef idx="0"/>
    <cs:fillRef idx="1">
      <a:sysClr val="window" lastClr="FFFFFF"/>
    </cs:fillRef>
    <cs:effectRef idx="0"/>
    <cs:fontRef idx="minor">
      <a:sysClr val="windowText" lastClr="000000"/>
    </cs:fontRef>
  </cs:plotArea>
  <cs:plotArea3D>
    <cs:lnRef idx="0"/>
    <cs:fillRef idx="0"/>
    <cs:effectRef idx="0"/>
    <cs:fontRef idx="minor">
      <a:sysClr val="windowText" lastClr="000000"/>
    </cs:fontRef>
  </cs:plotArea3D>
  <cs:seriesAxis>
    <cs:lnRef idx="1">
      <a:sysClr val="windowText" lastClr="000000">
        <a:tint val="75000"/>
      </a:sysClr>
    </cs:lnRef>
    <cs:fillRef idx="0"/>
    <cs:effectRef idx="0"/>
    <cs:fontRef idx="minor">
      <a:sysClr val="windowText" lastClr="000000"/>
    </cs:fontRef>
    <cs:spPr>
      <a:ln>
        <a:round/>
      </a:ln>
    </cs:spPr>
    <cs:defRPr sz="1000" kern="1200"/>
  </cs:seriesAxis>
  <cs:seriesLine>
    <cs:lnRef idx="1">
      <a:sysClr val="windowText" lastClr="000000"/>
    </cs:lnRef>
    <cs:fillRef idx="0"/>
    <cs:effectRef idx="0"/>
    <cs:fontRef idx="minor">
      <a:sysClr val="windowText" lastClr="000000"/>
    </cs:fontRef>
    <cs:spPr>
      <a:ln>
        <a:round/>
      </a:ln>
    </cs:spPr>
  </cs:seriesLine>
  <cs:title>
    <cs:lnRef idx="0"/>
    <cs:fillRef idx="0"/>
    <cs:effectRef idx="0"/>
    <cs:fontRef idx="minor">
      <a:sysClr val="windowText" lastClr="000000"/>
    </cs:fontRef>
    <cs:defRPr sz="1800" b="1" kern="1200"/>
  </cs:title>
  <cs:trendline>
    <cs:lnRef idx="1">
      <a:sysClr val="windowText" lastClr="000000"/>
    </cs:lnRef>
    <cs:fillRef idx="0"/>
    <cs:effectRef idx="0"/>
    <cs:fontRef idx="minor">
      <a:sysClr val="windowText" lastClr="000000"/>
    </cs:fontRef>
    <cs:spPr>
      <a:ln cap="rnd">
        <a:round/>
      </a:ln>
    </cs:spPr>
  </cs:trendline>
  <cs:trendlineLabel>
    <cs:lnRef idx="0"/>
    <cs:fillRef idx="0"/>
    <cs:effectRef idx="0"/>
    <cs:fontRef idx="minor">
      <a:sysClr val="windowText" lastClr="000000"/>
    </cs:fontRef>
    <cs:defRPr sz="1000" kern="1200"/>
  </cs:trendlineLabel>
  <cs:upBar>
    <cs:lnRef idx="1">
      <a:sysClr val="windowText" lastClr="000000"/>
    </cs:lnRef>
    <cs:fillRef idx="1" mods="ignoreCSTransforms">
      <cs:styleClr val="0">
        <a:tint val="25000"/>
      </cs:styleClr>
    </cs:fillRef>
    <cs:effectRef idx="0"/>
    <cs:fontRef idx="minor">
      <a:sysClr val="windowText" lastClr="000000"/>
    </cs:fontRef>
    <cs:spPr>
      <a:ln>
        <a:round/>
      </a:ln>
    </cs:spPr>
  </cs:upBar>
  <cs:valueAxis>
    <cs:lnRef idx="1">
      <a:sysClr val="windowText" lastClr="000000">
        <a:tint val="75000"/>
      </a:sysClr>
    </cs:lnRef>
    <cs:fillRef idx="0"/>
    <cs:effectRef idx="0"/>
    <cs:fontRef idx="minor">
      <a:sysClr val="windowText" lastClr="000000"/>
    </cs:fontRef>
    <cs:spPr>
      <a:ln>
        <a:round/>
      </a:ln>
    </cs:spPr>
    <cs:defRPr sz="1000" kern="1200"/>
  </cs:valueAxis>
  <cs:wall>
    <cs:lnRef idx="0"/>
    <cs:fillRef idx="0"/>
    <cs:effectRef idx="0"/>
    <cs:fontRef idx="minor">
      <a:sysClr val="windowText" lastClr="000000"/>
    </cs:fontRef>
  </cs:wall>
</cs:chartStyle>
</file>

<file path=word/charts/style24.xml><?xml version="1.0" encoding="utf-8"?>
<cs:chartStyle xmlns:cs="http://schemas.microsoft.com/office/drawing/2012/chartStyle" xmlns:a="http://schemas.openxmlformats.org/drawingml/2006/main" id="107">
  <cs:axisTitle>
    <cs:lnRef idx="0"/>
    <cs:fillRef idx="0"/>
    <cs:effectRef idx="0"/>
    <cs:fontRef idx="minor">
      <a:sysClr val="windowText" lastClr="000000"/>
    </cs:fontRef>
    <cs:defRPr sz="1000" b="1" kern="1200"/>
  </cs:axisTitle>
  <cs:categoryAxis>
    <cs:lnRef idx="1">
      <a:sysClr val="windowText" lastClr="000000">
        <a:tint val="75000"/>
      </a:sysClr>
    </cs:lnRef>
    <cs:fillRef idx="0"/>
    <cs:effectRef idx="0"/>
    <cs:fontRef idx="minor">
      <a:sysClr val="windowText" lastClr="000000"/>
    </cs:fontRef>
    <cs:spPr>
      <a:ln>
        <a:round/>
      </a:ln>
    </cs:spPr>
    <cs:defRPr sz="1000" kern="1200"/>
  </cs:categoryAxis>
  <cs:chartArea mods="allowNoFillOverride allowNoLineOverride">
    <cs:lnRef idx="1">
      <a:sysClr val="windowText" lastClr="000000">
        <a:tint val="75000"/>
      </a:sysClr>
    </cs:lnRef>
    <cs:fillRef idx="1">
      <a:sysClr val="window" lastClr="FFFFFF"/>
    </cs:fillRef>
    <cs:effectRef idx="0"/>
    <cs:fontRef idx="minor">
      <a:sysClr val="windowText" lastClr="000000"/>
    </cs:fontRef>
    <cs:spPr>
      <a:ln>
        <a:round/>
      </a:ln>
    </cs:spPr>
    <cs:defRPr sz="1000" kern="1200"/>
  </cs:chartArea>
  <cs:dataLabel>
    <cs:lnRef idx="0"/>
    <cs:fillRef idx="0"/>
    <cs:effectRef idx="0"/>
    <cs:fontRef idx="minor">
      <a:sysClr val="windowText" lastClr="000000"/>
    </cs:fontRef>
    <cs:defRPr sz="1000" kern="1200"/>
  </cs:dataLabel>
  <cs:dataLabelCallout>
    <cs:lnRef idx="0"/>
    <cs:fillRef idx="0"/>
    <cs:effectRef idx="0"/>
    <cs:fontRef idx="minor">
      <a:sysClr val="windowText" lastClr="000000"/>
    </cs:fontRef>
    <cs:spPr>
      <a:solidFill>
        <a:sysClr val="window" lastClr="FFFFFF"/>
      </a:solidFill>
      <a:ln>
        <a:solidFill>
          <a:sysClr val="windowText" lastClr="000000">
            <a:lumMod val="65000"/>
            <a:lumOff val="35000"/>
          </a:sysClr>
        </a:solidFill>
      </a:ln>
    </cs:spPr>
    <cs:defRPr sz="1000" kern="1200"/>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1">
      <cs:styleClr val="auto"/>
    </cs:lnRef>
    <cs:lineWidthScale>3</cs:lineWidthScale>
    <cs:fillRef idx="0"/>
    <cs:effectRef idx="0"/>
    <cs:fontRef idx="minor">
      <a:sysClr val="windowText" lastClr="000000"/>
    </cs:fontRef>
    <cs:spPr>
      <a:ln cap="rnd">
        <a:round/>
      </a:ln>
    </cs:spPr>
  </cs:dataPointLine>
  <cs:dataPointMarker>
    <cs:lnRef idx="1">
      <cs:styleClr val="auto"/>
    </cs:lnRef>
    <cs:fillRef idx="1">
      <cs:styleClr val="auto"/>
    </cs:fillRef>
    <cs:effectRef idx="0"/>
    <cs:fontRef idx="minor">
      <a:sysClr val="windowText" lastClr="000000"/>
    </cs:fontRef>
    <cs:spPr>
      <a:ln>
        <a:round/>
      </a:ln>
    </cs:spPr>
  </cs:dataPointMarker>
  <cs:dataPointMarkerLayout/>
  <cs:dataPointWireframe>
    <cs:lnRef idx="1">
      <cs:styleClr val="auto"/>
    </cs:lnRef>
    <cs:fillRef idx="0"/>
    <cs:effectRef idx="0"/>
    <cs:fontRef idx="minor">
      <a:sysClr val="windowText" lastClr="000000"/>
    </cs:fontRef>
    <cs:spPr>
      <a:ln>
        <a:round/>
      </a:ln>
    </cs:spPr>
  </cs:dataPointWireframe>
  <cs:dataTable>
    <cs:lnRef idx="1">
      <a:sysClr val="windowText" lastClr="000000">
        <a:tint val="75000"/>
      </a:sysClr>
    </cs:lnRef>
    <cs:fillRef idx="0"/>
    <cs:effectRef idx="0"/>
    <cs:fontRef idx="minor">
      <a:sysClr val="windowText" lastClr="000000"/>
    </cs:fontRef>
    <cs:spPr>
      <a:ln>
        <a:round/>
      </a:ln>
    </cs:spPr>
    <cs:defRPr sz="1000" kern="1200"/>
  </cs:dataTable>
  <cs:downBar>
    <cs:lnRef idx="1">
      <a:sysClr val="windowText" lastClr="000000"/>
    </cs:lnRef>
    <cs:fillRef idx="1" mods="ignoreCSTransforms">
      <cs:styleClr val="0">
        <a:shade val="25000"/>
      </cs:styleClr>
    </cs:fillRef>
    <cs:effectRef idx="0"/>
    <cs:fontRef idx="minor">
      <a:sysClr val="windowText" lastClr="000000"/>
    </cs:fontRef>
    <cs:spPr>
      <a:ln>
        <a:round/>
      </a:ln>
    </cs:spPr>
  </cs:downBar>
  <cs:dropLine>
    <cs:lnRef idx="1">
      <a:sysClr val="windowText" lastClr="000000"/>
    </cs:lnRef>
    <cs:fillRef idx="0"/>
    <cs:effectRef idx="0"/>
    <cs:fontRef idx="minor">
      <a:sysClr val="windowText" lastClr="000000"/>
    </cs:fontRef>
    <cs:spPr>
      <a:ln>
        <a:round/>
      </a:ln>
    </cs:spPr>
  </cs:dropLine>
  <cs:errorBar>
    <cs:lnRef idx="1">
      <a:sysClr val="windowText" lastClr="000000"/>
    </cs:lnRef>
    <cs:fillRef idx="1">
      <a:sysClr val="windowText" lastClr="000000"/>
    </cs:fillRef>
    <cs:effectRef idx="0"/>
    <cs:fontRef idx="minor">
      <a:sysClr val="windowText" lastClr="000000"/>
    </cs:fontRef>
    <cs:spPr>
      <a:ln>
        <a:round/>
      </a:ln>
    </cs:spPr>
  </cs:errorBar>
  <cs:floor>
    <cs:lnRef idx="1">
      <a:sysClr val="windowText" lastClr="000000">
        <a:tint val="75000"/>
      </a:sysClr>
    </cs:lnRef>
    <cs:fillRef idx="0"/>
    <cs:effectRef idx="0"/>
    <cs:fontRef idx="minor">
      <a:sysClr val="windowText" lastClr="000000"/>
    </cs:fontRef>
    <cs:spPr>
      <a:ln>
        <a:round/>
      </a:ln>
    </cs:spPr>
  </cs:floor>
  <cs:gridlineMajor>
    <cs:lnRef idx="1">
      <a:sysClr val="windowText" lastClr="000000">
        <a:tint val="75000"/>
      </a:sysClr>
    </cs:lnRef>
    <cs:fillRef idx="0"/>
    <cs:effectRef idx="0"/>
    <cs:fontRef idx="minor">
      <a:sysClr val="windowText" lastClr="000000"/>
    </cs:fontRef>
    <cs:spPr>
      <a:ln>
        <a:round/>
      </a:ln>
    </cs:spPr>
  </cs:gridlineMajor>
  <cs:gridlineMinor>
    <cs:lnRef idx="1">
      <a:sysClr val="windowText" lastClr="000000">
        <a:tint val="50000"/>
      </a:sysClr>
    </cs:lnRef>
    <cs:fillRef idx="0"/>
    <cs:effectRef idx="0"/>
    <cs:fontRef idx="minor">
      <a:sysClr val="windowText" lastClr="000000"/>
    </cs:fontRef>
    <cs:spPr>
      <a:ln>
        <a:round/>
      </a:ln>
    </cs:spPr>
  </cs:gridlineMinor>
  <cs:hiLoLine>
    <cs:lnRef idx="1">
      <a:sysClr val="windowText" lastClr="000000"/>
    </cs:lnRef>
    <cs:fillRef idx="0"/>
    <cs:effectRef idx="0"/>
    <cs:fontRef idx="minor">
      <a:sysClr val="windowText" lastClr="000000"/>
    </cs:fontRef>
    <cs:spPr>
      <a:ln>
        <a:round/>
      </a:ln>
    </cs:spPr>
  </cs:hiLoLine>
  <cs:leaderLine>
    <cs:lnRef idx="1">
      <a:sysClr val="windowText" lastClr="000000"/>
    </cs:lnRef>
    <cs:fillRef idx="0"/>
    <cs:effectRef idx="0"/>
    <cs:fontRef idx="minor">
      <a:sysClr val="windowText" lastClr="000000"/>
    </cs:fontRef>
    <cs:spPr>
      <a:ln>
        <a:round/>
      </a:ln>
    </cs:spPr>
  </cs:leaderLine>
  <cs:legend>
    <cs:lnRef idx="0"/>
    <cs:fillRef idx="0"/>
    <cs:effectRef idx="0"/>
    <cs:fontRef idx="minor">
      <a:sysClr val="windowText" lastClr="000000"/>
    </cs:fontRef>
    <cs:defRPr sz="1000" kern="1200"/>
  </cs:legend>
  <cs:plotArea mods="allowNoFillOverride allowNoLineOverride">
    <cs:lnRef idx="0"/>
    <cs:fillRef idx="1">
      <a:sysClr val="window" lastClr="FFFFFF"/>
    </cs:fillRef>
    <cs:effectRef idx="0"/>
    <cs:fontRef idx="minor">
      <a:sysClr val="windowText" lastClr="000000"/>
    </cs:fontRef>
  </cs:plotArea>
  <cs:plotArea3D>
    <cs:lnRef idx="0"/>
    <cs:fillRef idx="0"/>
    <cs:effectRef idx="0"/>
    <cs:fontRef idx="minor">
      <a:sysClr val="windowText" lastClr="000000"/>
    </cs:fontRef>
  </cs:plotArea3D>
  <cs:seriesAxis>
    <cs:lnRef idx="1">
      <a:sysClr val="windowText" lastClr="000000">
        <a:tint val="75000"/>
      </a:sysClr>
    </cs:lnRef>
    <cs:fillRef idx="0"/>
    <cs:effectRef idx="0"/>
    <cs:fontRef idx="minor">
      <a:sysClr val="windowText" lastClr="000000"/>
    </cs:fontRef>
    <cs:spPr>
      <a:ln>
        <a:round/>
      </a:ln>
    </cs:spPr>
    <cs:defRPr sz="1000" kern="1200"/>
  </cs:seriesAxis>
  <cs:seriesLine>
    <cs:lnRef idx="1">
      <a:sysClr val="windowText" lastClr="000000"/>
    </cs:lnRef>
    <cs:fillRef idx="0"/>
    <cs:effectRef idx="0"/>
    <cs:fontRef idx="minor">
      <a:sysClr val="windowText" lastClr="000000"/>
    </cs:fontRef>
    <cs:spPr>
      <a:ln>
        <a:round/>
      </a:ln>
    </cs:spPr>
  </cs:seriesLine>
  <cs:title>
    <cs:lnRef idx="0"/>
    <cs:fillRef idx="0"/>
    <cs:effectRef idx="0"/>
    <cs:fontRef idx="minor">
      <a:sysClr val="windowText" lastClr="000000"/>
    </cs:fontRef>
    <cs:defRPr sz="1800" b="1" kern="1200"/>
  </cs:title>
  <cs:trendline>
    <cs:lnRef idx="1">
      <a:sysClr val="windowText" lastClr="000000"/>
    </cs:lnRef>
    <cs:fillRef idx="0"/>
    <cs:effectRef idx="0"/>
    <cs:fontRef idx="minor">
      <a:sysClr val="windowText" lastClr="000000"/>
    </cs:fontRef>
    <cs:spPr>
      <a:ln cap="rnd">
        <a:round/>
      </a:ln>
    </cs:spPr>
  </cs:trendline>
  <cs:trendlineLabel>
    <cs:lnRef idx="0"/>
    <cs:fillRef idx="0"/>
    <cs:effectRef idx="0"/>
    <cs:fontRef idx="minor">
      <a:sysClr val="windowText" lastClr="000000"/>
    </cs:fontRef>
    <cs:defRPr sz="1000" kern="1200"/>
  </cs:trendlineLabel>
  <cs:upBar>
    <cs:lnRef idx="1">
      <a:sysClr val="windowText" lastClr="000000"/>
    </cs:lnRef>
    <cs:fillRef idx="1" mods="ignoreCSTransforms">
      <cs:styleClr val="0">
        <a:tint val="25000"/>
      </cs:styleClr>
    </cs:fillRef>
    <cs:effectRef idx="0"/>
    <cs:fontRef idx="minor">
      <a:sysClr val="windowText" lastClr="000000"/>
    </cs:fontRef>
    <cs:spPr>
      <a:ln>
        <a:round/>
      </a:ln>
    </cs:spPr>
  </cs:upBar>
  <cs:valueAxis>
    <cs:lnRef idx="1">
      <a:sysClr val="windowText" lastClr="000000">
        <a:tint val="75000"/>
      </a:sysClr>
    </cs:lnRef>
    <cs:fillRef idx="0"/>
    <cs:effectRef idx="0"/>
    <cs:fontRef idx="minor">
      <a:sysClr val="windowText" lastClr="000000"/>
    </cs:fontRef>
    <cs:spPr>
      <a:ln>
        <a:round/>
      </a:ln>
    </cs:spPr>
    <cs:defRPr sz="1000" kern="1200"/>
  </cs:valueAxis>
  <cs:wall>
    <cs:lnRef idx="0"/>
    <cs:fillRef idx="0"/>
    <cs:effectRef idx="0"/>
    <cs:fontRef idx="minor">
      <a:sysClr val="windowText" lastClr="000000"/>
    </cs:fontRef>
  </cs:wall>
</cs:chartStyle>
</file>

<file path=word/charts/style25.xml><?xml version="1.0" encoding="utf-8"?>
<cs:chartStyle xmlns:cs="http://schemas.microsoft.com/office/drawing/2012/chartStyle" xmlns:a="http://schemas.openxmlformats.org/drawingml/2006/main" id="107">
  <cs:axisTitle>
    <cs:lnRef idx="0"/>
    <cs:fillRef idx="0"/>
    <cs:effectRef idx="0"/>
    <cs:fontRef idx="minor">
      <a:sysClr val="windowText" lastClr="000000"/>
    </cs:fontRef>
    <cs:defRPr sz="1000" b="1" kern="1200"/>
  </cs:axisTitle>
  <cs:categoryAxis>
    <cs:lnRef idx="1">
      <a:sysClr val="windowText" lastClr="000000">
        <a:tint val="75000"/>
      </a:sysClr>
    </cs:lnRef>
    <cs:fillRef idx="0"/>
    <cs:effectRef idx="0"/>
    <cs:fontRef idx="minor">
      <a:sysClr val="windowText" lastClr="000000"/>
    </cs:fontRef>
    <cs:spPr>
      <a:ln>
        <a:round/>
      </a:ln>
    </cs:spPr>
    <cs:defRPr sz="1000" kern="1200"/>
  </cs:categoryAxis>
  <cs:chartArea mods="allowNoFillOverride allowNoLineOverride">
    <cs:lnRef idx="1">
      <a:sysClr val="windowText" lastClr="000000">
        <a:tint val="75000"/>
      </a:sysClr>
    </cs:lnRef>
    <cs:fillRef idx="1">
      <a:sysClr val="window" lastClr="FFFFFF"/>
    </cs:fillRef>
    <cs:effectRef idx="0"/>
    <cs:fontRef idx="minor">
      <a:sysClr val="windowText" lastClr="000000"/>
    </cs:fontRef>
    <cs:spPr>
      <a:ln>
        <a:round/>
      </a:ln>
    </cs:spPr>
    <cs:defRPr sz="1000" kern="1200"/>
  </cs:chartArea>
  <cs:dataLabel>
    <cs:lnRef idx="0"/>
    <cs:fillRef idx="0"/>
    <cs:effectRef idx="0"/>
    <cs:fontRef idx="minor">
      <a:sysClr val="windowText" lastClr="000000"/>
    </cs:fontRef>
    <cs:defRPr sz="1000" kern="1200"/>
  </cs:dataLabel>
  <cs:dataLabelCallout>
    <cs:lnRef idx="0"/>
    <cs:fillRef idx="0"/>
    <cs:effectRef idx="0"/>
    <cs:fontRef idx="minor">
      <a:sysClr val="windowText" lastClr="000000"/>
    </cs:fontRef>
    <cs:spPr>
      <a:solidFill>
        <a:sysClr val="window" lastClr="FFFFFF"/>
      </a:solidFill>
      <a:ln>
        <a:solidFill>
          <a:sysClr val="windowText" lastClr="000000">
            <a:lumMod val="65000"/>
            <a:lumOff val="35000"/>
          </a:sysClr>
        </a:solidFill>
      </a:ln>
    </cs:spPr>
    <cs:defRPr sz="1000" kern="1200"/>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1">
      <cs:styleClr val="auto"/>
    </cs:lnRef>
    <cs:lineWidthScale>3</cs:lineWidthScale>
    <cs:fillRef idx="0"/>
    <cs:effectRef idx="0"/>
    <cs:fontRef idx="minor">
      <a:sysClr val="windowText" lastClr="000000"/>
    </cs:fontRef>
    <cs:spPr>
      <a:ln cap="rnd">
        <a:round/>
      </a:ln>
    </cs:spPr>
  </cs:dataPointLine>
  <cs:dataPointMarker>
    <cs:lnRef idx="1">
      <cs:styleClr val="auto"/>
    </cs:lnRef>
    <cs:fillRef idx="1">
      <cs:styleClr val="auto"/>
    </cs:fillRef>
    <cs:effectRef idx="0"/>
    <cs:fontRef idx="minor">
      <a:sysClr val="windowText" lastClr="000000"/>
    </cs:fontRef>
    <cs:spPr>
      <a:ln>
        <a:round/>
      </a:ln>
    </cs:spPr>
  </cs:dataPointMarker>
  <cs:dataPointMarkerLayout/>
  <cs:dataPointWireframe>
    <cs:lnRef idx="1">
      <cs:styleClr val="auto"/>
    </cs:lnRef>
    <cs:fillRef idx="0"/>
    <cs:effectRef idx="0"/>
    <cs:fontRef idx="minor">
      <a:sysClr val="windowText" lastClr="000000"/>
    </cs:fontRef>
    <cs:spPr>
      <a:ln>
        <a:round/>
      </a:ln>
    </cs:spPr>
  </cs:dataPointWireframe>
  <cs:dataTable>
    <cs:lnRef idx="1">
      <a:sysClr val="windowText" lastClr="000000">
        <a:tint val="75000"/>
      </a:sysClr>
    </cs:lnRef>
    <cs:fillRef idx="0"/>
    <cs:effectRef idx="0"/>
    <cs:fontRef idx="minor">
      <a:sysClr val="windowText" lastClr="000000"/>
    </cs:fontRef>
    <cs:spPr>
      <a:ln>
        <a:round/>
      </a:ln>
    </cs:spPr>
    <cs:defRPr sz="1000" kern="1200"/>
  </cs:dataTable>
  <cs:downBar>
    <cs:lnRef idx="1">
      <a:sysClr val="windowText" lastClr="000000"/>
    </cs:lnRef>
    <cs:fillRef idx="1" mods="ignoreCSTransforms">
      <cs:styleClr val="0">
        <a:shade val="25000"/>
      </cs:styleClr>
    </cs:fillRef>
    <cs:effectRef idx="0"/>
    <cs:fontRef idx="minor">
      <a:sysClr val="windowText" lastClr="000000"/>
    </cs:fontRef>
    <cs:spPr>
      <a:ln>
        <a:round/>
      </a:ln>
    </cs:spPr>
  </cs:downBar>
  <cs:dropLine>
    <cs:lnRef idx="1">
      <a:sysClr val="windowText" lastClr="000000"/>
    </cs:lnRef>
    <cs:fillRef idx="0"/>
    <cs:effectRef idx="0"/>
    <cs:fontRef idx="minor">
      <a:sysClr val="windowText" lastClr="000000"/>
    </cs:fontRef>
    <cs:spPr>
      <a:ln>
        <a:round/>
      </a:ln>
    </cs:spPr>
  </cs:dropLine>
  <cs:errorBar>
    <cs:lnRef idx="1">
      <a:sysClr val="windowText" lastClr="000000"/>
    </cs:lnRef>
    <cs:fillRef idx="1">
      <a:sysClr val="windowText" lastClr="000000"/>
    </cs:fillRef>
    <cs:effectRef idx="0"/>
    <cs:fontRef idx="minor">
      <a:sysClr val="windowText" lastClr="000000"/>
    </cs:fontRef>
    <cs:spPr>
      <a:ln>
        <a:round/>
      </a:ln>
    </cs:spPr>
  </cs:errorBar>
  <cs:floor>
    <cs:lnRef idx="1">
      <a:sysClr val="windowText" lastClr="000000">
        <a:tint val="75000"/>
      </a:sysClr>
    </cs:lnRef>
    <cs:fillRef idx="0"/>
    <cs:effectRef idx="0"/>
    <cs:fontRef idx="minor">
      <a:sysClr val="windowText" lastClr="000000"/>
    </cs:fontRef>
    <cs:spPr>
      <a:ln>
        <a:round/>
      </a:ln>
    </cs:spPr>
  </cs:floor>
  <cs:gridlineMajor>
    <cs:lnRef idx="1">
      <a:sysClr val="windowText" lastClr="000000">
        <a:tint val="75000"/>
      </a:sysClr>
    </cs:lnRef>
    <cs:fillRef idx="0"/>
    <cs:effectRef idx="0"/>
    <cs:fontRef idx="minor">
      <a:sysClr val="windowText" lastClr="000000"/>
    </cs:fontRef>
    <cs:spPr>
      <a:ln>
        <a:round/>
      </a:ln>
    </cs:spPr>
  </cs:gridlineMajor>
  <cs:gridlineMinor>
    <cs:lnRef idx="1">
      <a:sysClr val="windowText" lastClr="000000">
        <a:tint val="50000"/>
      </a:sysClr>
    </cs:lnRef>
    <cs:fillRef idx="0"/>
    <cs:effectRef idx="0"/>
    <cs:fontRef idx="minor">
      <a:sysClr val="windowText" lastClr="000000"/>
    </cs:fontRef>
    <cs:spPr>
      <a:ln>
        <a:round/>
      </a:ln>
    </cs:spPr>
  </cs:gridlineMinor>
  <cs:hiLoLine>
    <cs:lnRef idx="1">
      <a:sysClr val="windowText" lastClr="000000"/>
    </cs:lnRef>
    <cs:fillRef idx="0"/>
    <cs:effectRef idx="0"/>
    <cs:fontRef idx="minor">
      <a:sysClr val="windowText" lastClr="000000"/>
    </cs:fontRef>
    <cs:spPr>
      <a:ln>
        <a:round/>
      </a:ln>
    </cs:spPr>
  </cs:hiLoLine>
  <cs:leaderLine>
    <cs:lnRef idx="1">
      <a:sysClr val="windowText" lastClr="000000"/>
    </cs:lnRef>
    <cs:fillRef idx="0"/>
    <cs:effectRef idx="0"/>
    <cs:fontRef idx="minor">
      <a:sysClr val="windowText" lastClr="000000"/>
    </cs:fontRef>
    <cs:spPr>
      <a:ln>
        <a:round/>
      </a:ln>
    </cs:spPr>
  </cs:leaderLine>
  <cs:legend>
    <cs:lnRef idx="0"/>
    <cs:fillRef idx="0"/>
    <cs:effectRef idx="0"/>
    <cs:fontRef idx="minor">
      <a:sysClr val="windowText" lastClr="000000"/>
    </cs:fontRef>
    <cs:defRPr sz="1000" kern="1200"/>
  </cs:legend>
  <cs:plotArea mods="allowNoFillOverride allowNoLineOverride">
    <cs:lnRef idx="0"/>
    <cs:fillRef idx="1">
      <a:sysClr val="window" lastClr="FFFFFF"/>
    </cs:fillRef>
    <cs:effectRef idx="0"/>
    <cs:fontRef idx="minor">
      <a:sysClr val="windowText" lastClr="000000"/>
    </cs:fontRef>
  </cs:plotArea>
  <cs:plotArea3D>
    <cs:lnRef idx="0"/>
    <cs:fillRef idx="0"/>
    <cs:effectRef idx="0"/>
    <cs:fontRef idx="minor">
      <a:sysClr val="windowText" lastClr="000000"/>
    </cs:fontRef>
  </cs:plotArea3D>
  <cs:seriesAxis>
    <cs:lnRef idx="1">
      <a:sysClr val="windowText" lastClr="000000">
        <a:tint val="75000"/>
      </a:sysClr>
    </cs:lnRef>
    <cs:fillRef idx="0"/>
    <cs:effectRef idx="0"/>
    <cs:fontRef idx="minor">
      <a:sysClr val="windowText" lastClr="000000"/>
    </cs:fontRef>
    <cs:spPr>
      <a:ln>
        <a:round/>
      </a:ln>
    </cs:spPr>
    <cs:defRPr sz="1000" kern="1200"/>
  </cs:seriesAxis>
  <cs:seriesLine>
    <cs:lnRef idx="1">
      <a:sysClr val="windowText" lastClr="000000"/>
    </cs:lnRef>
    <cs:fillRef idx="0"/>
    <cs:effectRef idx="0"/>
    <cs:fontRef idx="minor">
      <a:sysClr val="windowText" lastClr="000000"/>
    </cs:fontRef>
    <cs:spPr>
      <a:ln>
        <a:round/>
      </a:ln>
    </cs:spPr>
  </cs:seriesLine>
  <cs:title>
    <cs:lnRef idx="0"/>
    <cs:fillRef idx="0"/>
    <cs:effectRef idx="0"/>
    <cs:fontRef idx="minor">
      <a:sysClr val="windowText" lastClr="000000"/>
    </cs:fontRef>
    <cs:defRPr sz="1800" b="1" kern="1200"/>
  </cs:title>
  <cs:trendline>
    <cs:lnRef idx="1">
      <a:sysClr val="windowText" lastClr="000000"/>
    </cs:lnRef>
    <cs:fillRef idx="0"/>
    <cs:effectRef idx="0"/>
    <cs:fontRef idx="minor">
      <a:sysClr val="windowText" lastClr="000000"/>
    </cs:fontRef>
    <cs:spPr>
      <a:ln cap="rnd">
        <a:round/>
      </a:ln>
    </cs:spPr>
  </cs:trendline>
  <cs:trendlineLabel>
    <cs:lnRef idx="0"/>
    <cs:fillRef idx="0"/>
    <cs:effectRef idx="0"/>
    <cs:fontRef idx="minor">
      <a:sysClr val="windowText" lastClr="000000"/>
    </cs:fontRef>
    <cs:defRPr sz="1000" kern="1200"/>
  </cs:trendlineLabel>
  <cs:upBar>
    <cs:lnRef idx="1">
      <a:sysClr val="windowText" lastClr="000000"/>
    </cs:lnRef>
    <cs:fillRef idx="1" mods="ignoreCSTransforms">
      <cs:styleClr val="0">
        <a:tint val="25000"/>
      </cs:styleClr>
    </cs:fillRef>
    <cs:effectRef idx="0"/>
    <cs:fontRef idx="minor">
      <a:sysClr val="windowText" lastClr="000000"/>
    </cs:fontRef>
    <cs:spPr>
      <a:ln>
        <a:round/>
      </a:ln>
    </cs:spPr>
  </cs:upBar>
  <cs:valueAxis>
    <cs:lnRef idx="1">
      <a:sysClr val="windowText" lastClr="000000">
        <a:tint val="75000"/>
      </a:sysClr>
    </cs:lnRef>
    <cs:fillRef idx="0"/>
    <cs:effectRef idx="0"/>
    <cs:fontRef idx="minor">
      <a:sysClr val="windowText" lastClr="000000"/>
    </cs:fontRef>
    <cs:spPr>
      <a:ln>
        <a:round/>
      </a:ln>
    </cs:spPr>
    <cs:defRPr sz="1000" kern="1200"/>
  </cs:valueAxis>
  <cs:wall>
    <cs:lnRef idx="0"/>
    <cs:fillRef idx="0"/>
    <cs:effectRef idx="0"/>
    <cs:fontRef idx="minor">
      <a:sysClr val="windowText" lastClr="000000"/>
    </cs:fontRef>
  </cs:wall>
</cs:chartStyle>
</file>

<file path=word/charts/style26.xml><?xml version="1.0" encoding="utf-8"?>
<cs:chartStyle xmlns:cs="http://schemas.microsoft.com/office/drawing/2012/chartStyle" xmlns:a="http://schemas.openxmlformats.org/drawingml/2006/main" id="107">
  <cs:axisTitle>
    <cs:lnRef idx="0"/>
    <cs:fillRef idx="0"/>
    <cs:effectRef idx="0"/>
    <cs:fontRef idx="minor">
      <a:sysClr val="windowText" lastClr="000000"/>
    </cs:fontRef>
    <cs:defRPr sz="1000" b="1" kern="1200"/>
  </cs:axisTitle>
  <cs:categoryAxis>
    <cs:lnRef idx="1">
      <a:sysClr val="windowText" lastClr="000000">
        <a:tint val="75000"/>
      </a:sysClr>
    </cs:lnRef>
    <cs:fillRef idx="0"/>
    <cs:effectRef idx="0"/>
    <cs:fontRef idx="minor">
      <a:sysClr val="windowText" lastClr="000000"/>
    </cs:fontRef>
    <cs:spPr>
      <a:ln>
        <a:round/>
      </a:ln>
    </cs:spPr>
    <cs:defRPr sz="1000" kern="1200"/>
  </cs:categoryAxis>
  <cs:chartArea mods="allowNoFillOverride allowNoLineOverride">
    <cs:lnRef idx="1">
      <a:sysClr val="windowText" lastClr="000000">
        <a:tint val="75000"/>
      </a:sysClr>
    </cs:lnRef>
    <cs:fillRef idx="1">
      <a:sysClr val="window" lastClr="FFFFFF"/>
    </cs:fillRef>
    <cs:effectRef idx="0"/>
    <cs:fontRef idx="minor">
      <a:sysClr val="windowText" lastClr="000000"/>
    </cs:fontRef>
    <cs:spPr>
      <a:ln>
        <a:round/>
      </a:ln>
    </cs:spPr>
    <cs:defRPr sz="1000" kern="1200"/>
  </cs:chartArea>
  <cs:dataLabel>
    <cs:lnRef idx="0"/>
    <cs:fillRef idx="0"/>
    <cs:effectRef idx="0"/>
    <cs:fontRef idx="minor">
      <a:sysClr val="windowText" lastClr="000000"/>
    </cs:fontRef>
    <cs:defRPr sz="1000" kern="1200"/>
  </cs:dataLabel>
  <cs:dataLabelCallout>
    <cs:lnRef idx="0"/>
    <cs:fillRef idx="0"/>
    <cs:effectRef idx="0"/>
    <cs:fontRef idx="minor">
      <a:sysClr val="windowText" lastClr="000000"/>
    </cs:fontRef>
    <cs:spPr>
      <a:solidFill>
        <a:sysClr val="window" lastClr="FFFFFF"/>
      </a:solidFill>
      <a:ln>
        <a:solidFill>
          <a:sysClr val="windowText" lastClr="000000">
            <a:lumMod val="65000"/>
            <a:lumOff val="35000"/>
          </a:sysClr>
        </a:solidFill>
      </a:ln>
    </cs:spPr>
    <cs:defRPr sz="1000" kern="1200"/>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1">
      <cs:styleClr val="auto"/>
    </cs:lnRef>
    <cs:lineWidthScale>3</cs:lineWidthScale>
    <cs:fillRef idx="0"/>
    <cs:effectRef idx="0"/>
    <cs:fontRef idx="minor">
      <a:sysClr val="windowText" lastClr="000000"/>
    </cs:fontRef>
    <cs:spPr>
      <a:ln cap="rnd">
        <a:round/>
      </a:ln>
    </cs:spPr>
  </cs:dataPointLine>
  <cs:dataPointMarker>
    <cs:lnRef idx="1">
      <cs:styleClr val="auto"/>
    </cs:lnRef>
    <cs:fillRef idx="1">
      <cs:styleClr val="auto"/>
    </cs:fillRef>
    <cs:effectRef idx="0"/>
    <cs:fontRef idx="minor">
      <a:sysClr val="windowText" lastClr="000000"/>
    </cs:fontRef>
    <cs:spPr>
      <a:ln>
        <a:round/>
      </a:ln>
    </cs:spPr>
  </cs:dataPointMarker>
  <cs:dataPointMarkerLayout/>
  <cs:dataPointWireframe>
    <cs:lnRef idx="1">
      <cs:styleClr val="auto"/>
    </cs:lnRef>
    <cs:fillRef idx="0"/>
    <cs:effectRef idx="0"/>
    <cs:fontRef idx="minor">
      <a:sysClr val="windowText" lastClr="000000"/>
    </cs:fontRef>
    <cs:spPr>
      <a:ln>
        <a:round/>
      </a:ln>
    </cs:spPr>
  </cs:dataPointWireframe>
  <cs:dataTable>
    <cs:lnRef idx="1">
      <a:sysClr val="windowText" lastClr="000000">
        <a:tint val="75000"/>
      </a:sysClr>
    </cs:lnRef>
    <cs:fillRef idx="0"/>
    <cs:effectRef idx="0"/>
    <cs:fontRef idx="minor">
      <a:sysClr val="windowText" lastClr="000000"/>
    </cs:fontRef>
    <cs:spPr>
      <a:ln>
        <a:round/>
      </a:ln>
    </cs:spPr>
    <cs:defRPr sz="1000" kern="1200"/>
  </cs:dataTable>
  <cs:downBar>
    <cs:lnRef idx="1">
      <a:sysClr val="windowText" lastClr="000000"/>
    </cs:lnRef>
    <cs:fillRef idx="1" mods="ignoreCSTransforms">
      <cs:styleClr val="0">
        <a:shade val="25000"/>
      </cs:styleClr>
    </cs:fillRef>
    <cs:effectRef idx="0"/>
    <cs:fontRef idx="minor">
      <a:sysClr val="windowText" lastClr="000000"/>
    </cs:fontRef>
    <cs:spPr>
      <a:ln>
        <a:round/>
      </a:ln>
    </cs:spPr>
  </cs:downBar>
  <cs:dropLine>
    <cs:lnRef idx="1">
      <a:sysClr val="windowText" lastClr="000000"/>
    </cs:lnRef>
    <cs:fillRef idx="0"/>
    <cs:effectRef idx="0"/>
    <cs:fontRef idx="minor">
      <a:sysClr val="windowText" lastClr="000000"/>
    </cs:fontRef>
    <cs:spPr>
      <a:ln>
        <a:round/>
      </a:ln>
    </cs:spPr>
  </cs:dropLine>
  <cs:errorBar>
    <cs:lnRef idx="1">
      <a:sysClr val="windowText" lastClr="000000"/>
    </cs:lnRef>
    <cs:fillRef idx="1">
      <a:sysClr val="windowText" lastClr="000000"/>
    </cs:fillRef>
    <cs:effectRef idx="0"/>
    <cs:fontRef idx="minor">
      <a:sysClr val="windowText" lastClr="000000"/>
    </cs:fontRef>
    <cs:spPr>
      <a:ln>
        <a:round/>
      </a:ln>
    </cs:spPr>
  </cs:errorBar>
  <cs:floor>
    <cs:lnRef idx="1">
      <a:sysClr val="windowText" lastClr="000000">
        <a:tint val="75000"/>
      </a:sysClr>
    </cs:lnRef>
    <cs:fillRef idx="0"/>
    <cs:effectRef idx="0"/>
    <cs:fontRef idx="minor">
      <a:sysClr val="windowText" lastClr="000000"/>
    </cs:fontRef>
    <cs:spPr>
      <a:ln>
        <a:round/>
      </a:ln>
    </cs:spPr>
  </cs:floor>
  <cs:gridlineMajor>
    <cs:lnRef idx="1">
      <a:sysClr val="windowText" lastClr="000000">
        <a:tint val="75000"/>
      </a:sysClr>
    </cs:lnRef>
    <cs:fillRef idx="0"/>
    <cs:effectRef idx="0"/>
    <cs:fontRef idx="minor">
      <a:sysClr val="windowText" lastClr="000000"/>
    </cs:fontRef>
    <cs:spPr>
      <a:ln>
        <a:round/>
      </a:ln>
    </cs:spPr>
  </cs:gridlineMajor>
  <cs:gridlineMinor>
    <cs:lnRef idx="1">
      <a:sysClr val="windowText" lastClr="000000">
        <a:tint val="50000"/>
      </a:sysClr>
    </cs:lnRef>
    <cs:fillRef idx="0"/>
    <cs:effectRef idx="0"/>
    <cs:fontRef idx="minor">
      <a:sysClr val="windowText" lastClr="000000"/>
    </cs:fontRef>
    <cs:spPr>
      <a:ln>
        <a:round/>
      </a:ln>
    </cs:spPr>
  </cs:gridlineMinor>
  <cs:hiLoLine>
    <cs:lnRef idx="1">
      <a:sysClr val="windowText" lastClr="000000"/>
    </cs:lnRef>
    <cs:fillRef idx="0"/>
    <cs:effectRef idx="0"/>
    <cs:fontRef idx="minor">
      <a:sysClr val="windowText" lastClr="000000"/>
    </cs:fontRef>
    <cs:spPr>
      <a:ln>
        <a:round/>
      </a:ln>
    </cs:spPr>
  </cs:hiLoLine>
  <cs:leaderLine>
    <cs:lnRef idx="1">
      <a:sysClr val="windowText" lastClr="000000"/>
    </cs:lnRef>
    <cs:fillRef idx="0"/>
    <cs:effectRef idx="0"/>
    <cs:fontRef idx="minor">
      <a:sysClr val="windowText" lastClr="000000"/>
    </cs:fontRef>
    <cs:spPr>
      <a:ln>
        <a:round/>
      </a:ln>
    </cs:spPr>
  </cs:leaderLine>
  <cs:legend>
    <cs:lnRef idx="0"/>
    <cs:fillRef idx="0"/>
    <cs:effectRef idx="0"/>
    <cs:fontRef idx="minor">
      <a:sysClr val="windowText" lastClr="000000"/>
    </cs:fontRef>
    <cs:defRPr sz="1000" kern="1200"/>
  </cs:legend>
  <cs:plotArea mods="allowNoFillOverride allowNoLineOverride">
    <cs:lnRef idx="0"/>
    <cs:fillRef idx="1">
      <a:sysClr val="window" lastClr="FFFFFF"/>
    </cs:fillRef>
    <cs:effectRef idx="0"/>
    <cs:fontRef idx="minor">
      <a:sysClr val="windowText" lastClr="000000"/>
    </cs:fontRef>
  </cs:plotArea>
  <cs:plotArea3D>
    <cs:lnRef idx="0"/>
    <cs:fillRef idx="0"/>
    <cs:effectRef idx="0"/>
    <cs:fontRef idx="minor">
      <a:sysClr val="windowText" lastClr="000000"/>
    </cs:fontRef>
  </cs:plotArea3D>
  <cs:seriesAxis>
    <cs:lnRef idx="1">
      <a:sysClr val="windowText" lastClr="000000">
        <a:tint val="75000"/>
      </a:sysClr>
    </cs:lnRef>
    <cs:fillRef idx="0"/>
    <cs:effectRef idx="0"/>
    <cs:fontRef idx="minor">
      <a:sysClr val="windowText" lastClr="000000"/>
    </cs:fontRef>
    <cs:spPr>
      <a:ln>
        <a:round/>
      </a:ln>
    </cs:spPr>
    <cs:defRPr sz="1000" kern="1200"/>
  </cs:seriesAxis>
  <cs:seriesLine>
    <cs:lnRef idx="1">
      <a:sysClr val="windowText" lastClr="000000"/>
    </cs:lnRef>
    <cs:fillRef idx="0"/>
    <cs:effectRef idx="0"/>
    <cs:fontRef idx="minor">
      <a:sysClr val="windowText" lastClr="000000"/>
    </cs:fontRef>
    <cs:spPr>
      <a:ln>
        <a:round/>
      </a:ln>
    </cs:spPr>
  </cs:seriesLine>
  <cs:title>
    <cs:lnRef idx="0"/>
    <cs:fillRef idx="0"/>
    <cs:effectRef idx="0"/>
    <cs:fontRef idx="minor">
      <a:sysClr val="windowText" lastClr="000000"/>
    </cs:fontRef>
    <cs:defRPr sz="1800" b="1" kern="1200"/>
  </cs:title>
  <cs:trendline>
    <cs:lnRef idx="1">
      <a:sysClr val="windowText" lastClr="000000"/>
    </cs:lnRef>
    <cs:fillRef idx="0"/>
    <cs:effectRef idx="0"/>
    <cs:fontRef idx="minor">
      <a:sysClr val="windowText" lastClr="000000"/>
    </cs:fontRef>
    <cs:spPr>
      <a:ln cap="rnd">
        <a:round/>
      </a:ln>
    </cs:spPr>
  </cs:trendline>
  <cs:trendlineLabel>
    <cs:lnRef idx="0"/>
    <cs:fillRef idx="0"/>
    <cs:effectRef idx="0"/>
    <cs:fontRef idx="minor">
      <a:sysClr val="windowText" lastClr="000000"/>
    </cs:fontRef>
    <cs:defRPr sz="1000" kern="1200"/>
  </cs:trendlineLabel>
  <cs:upBar>
    <cs:lnRef idx="1">
      <a:sysClr val="windowText" lastClr="000000"/>
    </cs:lnRef>
    <cs:fillRef idx="1" mods="ignoreCSTransforms">
      <cs:styleClr val="0">
        <a:tint val="25000"/>
      </cs:styleClr>
    </cs:fillRef>
    <cs:effectRef idx="0"/>
    <cs:fontRef idx="minor">
      <a:sysClr val="windowText" lastClr="000000"/>
    </cs:fontRef>
    <cs:spPr>
      <a:ln>
        <a:round/>
      </a:ln>
    </cs:spPr>
  </cs:upBar>
  <cs:valueAxis>
    <cs:lnRef idx="1">
      <a:sysClr val="windowText" lastClr="000000">
        <a:tint val="75000"/>
      </a:sysClr>
    </cs:lnRef>
    <cs:fillRef idx="0"/>
    <cs:effectRef idx="0"/>
    <cs:fontRef idx="minor">
      <a:sysClr val="windowText" lastClr="000000"/>
    </cs:fontRef>
    <cs:spPr>
      <a:ln>
        <a:round/>
      </a:ln>
    </cs:spPr>
    <cs:defRPr sz="1000" kern="1200"/>
  </cs:valueAxis>
  <cs:wall>
    <cs:lnRef idx="0"/>
    <cs:fillRef idx="0"/>
    <cs:effectRef idx="0"/>
    <cs:fontRef idx="minor">
      <a:sysClr val="windowText" lastClr="000000"/>
    </cs:fontRef>
  </cs:wall>
</cs:chartStyle>
</file>

<file path=word/charts/style27.xml><?xml version="1.0" encoding="utf-8"?>
<cs:chartStyle xmlns:cs="http://schemas.microsoft.com/office/drawing/2012/chartStyle" xmlns:a="http://schemas.openxmlformats.org/drawingml/2006/main" id="107">
  <cs:axisTitle>
    <cs:lnRef idx="0"/>
    <cs:fillRef idx="0"/>
    <cs:effectRef idx="0"/>
    <cs:fontRef idx="minor">
      <a:sysClr val="windowText" lastClr="000000"/>
    </cs:fontRef>
    <cs:defRPr sz="1000" b="1" kern="1200"/>
  </cs:axisTitle>
  <cs:categoryAxis>
    <cs:lnRef idx="1">
      <a:sysClr val="windowText" lastClr="000000">
        <a:tint val="75000"/>
      </a:sysClr>
    </cs:lnRef>
    <cs:fillRef idx="0"/>
    <cs:effectRef idx="0"/>
    <cs:fontRef idx="minor">
      <a:sysClr val="windowText" lastClr="000000"/>
    </cs:fontRef>
    <cs:spPr>
      <a:ln>
        <a:round/>
      </a:ln>
    </cs:spPr>
    <cs:defRPr sz="1000" kern="1200"/>
  </cs:categoryAxis>
  <cs:chartArea mods="allowNoFillOverride allowNoLineOverride">
    <cs:lnRef idx="1">
      <a:sysClr val="windowText" lastClr="000000">
        <a:tint val="75000"/>
      </a:sysClr>
    </cs:lnRef>
    <cs:fillRef idx="1">
      <a:sysClr val="window" lastClr="FFFFFF"/>
    </cs:fillRef>
    <cs:effectRef idx="0"/>
    <cs:fontRef idx="minor">
      <a:sysClr val="windowText" lastClr="000000"/>
    </cs:fontRef>
    <cs:spPr>
      <a:ln>
        <a:round/>
      </a:ln>
    </cs:spPr>
    <cs:defRPr sz="1000" kern="1200"/>
  </cs:chartArea>
  <cs:dataLabel>
    <cs:lnRef idx="0"/>
    <cs:fillRef idx="0"/>
    <cs:effectRef idx="0"/>
    <cs:fontRef idx="minor">
      <a:sysClr val="windowText" lastClr="000000"/>
    </cs:fontRef>
    <cs:defRPr sz="1000" kern="1200"/>
  </cs:dataLabel>
  <cs:dataLabelCallout>
    <cs:lnRef idx="0"/>
    <cs:fillRef idx="0"/>
    <cs:effectRef idx="0"/>
    <cs:fontRef idx="minor">
      <a:sysClr val="windowText" lastClr="000000"/>
    </cs:fontRef>
    <cs:spPr>
      <a:solidFill>
        <a:sysClr val="window" lastClr="FFFFFF"/>
      </a:solidFill>
      <a:ln>
        <a:solidFill>
          <a:sysClr val="windowText" lastClr="000000">
            <a:lumMod val="65000"/>
            <a:lumOff val="35000"/>
          </a:sysClr>
        </a:solidFill>
      </a:ln>
    </cs:spPr>
    <cs:defRPr sz="1000" kern="1200"/>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1">
      <cs:styleClr val="auto"/>
    </cs:lnRef>
    <cs:lineWidthScale>3</cs:lineWidthScale>
    <cs:fillRef idx="0"/>
    <cs:effectRef idx="0"/>
    <cs:fontRef idx="minor">
      <a:sysClr val="windowText" lastClr="000000"/>
    </cs:fontRef>
    <cs:spPr>
      <a:ln cap="rnd">
        <a:round/>
      </a:ln>
    </cs:spPr>
  </cs:dataPointLine>
  <cs:dataPointMarker>
    <cs:lnRef idx="1">
      <cs:styleClr val="auto"/>
    </cs:lnRef>
    <cs:fillRef idx="1">
      <cs:styleClr val="auto"/>
    </cs:fillRef>
    <cs:effectRef idx="0"/>
    <cs:fontRef idx="minor">
      <a:sysClr val="windowText" lastClr="000000"/>
    </cs:fontRef>
    <cs:spPr>
      <a:ln>
        <a:round/>
      </a:ln>
    </cs:spPr>
  </cs:dataPointMarker>
  <cs:dataPointMarkerLayout/>
  <cs:dataPointWireframe>
    <cs:lnRef idx="1">
      <cs:styleClr val="auto"/>
    </cs:lnRef>
    <cs:fillRef idx="0"/>
    <cs:effectRef idx="0"/>
    <cs:fontRef idx="minor">
      <a:sysClr val="windowText" lastClr="000000"/>
    </cs:fontRef>
    <cs:spPr>
      <a:ln>
        <a:round/>
      </a:ln>
    </cs:spPr>
  </cs:dataPointWireframe>
  <cs:dataTable>
    <cs:lnRef idx="1">
      <a:sysClr val="windowText" lastClr="000000">
        <a:tint val="75000"/>
      </a:sysClr>
    </cs:lnRef>
    <cs:fillRef idx="0"/>
    <cs:effectRef idx="0"/>
    <cs:fontRef idx="minor">
      <a:sysClr val="windowText" lastClr="000000"/>
    </cs:fontRef>
    <cs:spPr>
      <a:ln>
        <a:round/>
      </a:ln>
    </cs:spPr>
    <cs:defRPr sz="1000" kern="1200"/>
  </cs:dataTable>
  <cs:downBar>
    <cs:lnRef idx="1">
      <a:sysClr val="windowText" lastClr="000000"/>
    </cs:lnRef>
    <cs:fillRef idx="1" mods="ignoreCSTransforms">
      <cs:styleClr val="0">
        <a:shade val="25000"/>
      </cs:styleClr>
    </cs:fillRef>
    <cs:effectRef idx="0"/>
    <cs:fontRef idx="minor">
      <a:sysClr val="windowText" lastClr="000000"/>
    </cs:fontRef>
    <cs:spPr>
      <a:ln>
        <a:round/>
      </a:ln>
    </cs:spPr>
  </cs:downBar>
  <cs:dropLine>
    <cs:lnRef idx="1">
      <a:sysClr val="windowText" lastClr="000000"/>
    </cs:lnRef>
    <cs:fillRef idx="0"/>
    <cs:effectRef idx="0"/>
    <cs:fontRef idx="minor">
      <a:sysClr val="windowText" lastClr="000000"/>
    </cs:fontRef>
    <cs:spPr>
      <a:ln>
        <a:round/>
      </a:ln>
    </cs:spPr>
  </cs:dropLine>
  <cs:errorBar>
    <cs:lnRef idx="1">
      <a:sysClr val="windowText" lastClr="000000"/>
    </cs:lnRef>
    <cs:fillRef idx="1">
      <a:sysClr val="windowText" lastClr="000000"/>
    </cs:fillRef>
    <cs:effectRef idx="0"/>
    <cs:fontRef idx="minor">
      <a:sysClr val="windowText" lastClr="000000"/>
    </cs:fontRef>
    <cs:spPr>
      <a:ln>
        <a:round/>
      </a:ln>
    </cs:spPr>
  </cs:errorBar>
  <cs:floor>
    <cs:lnRef idx="1">
      <a:sysClr val="windowText" lastClr="000000">
        <a:tint val="75000"/>
      </a:sysClr>
    </cs:lnRef>
    <cs:fillRef idx="0"/>
    <cs:effectRef idx="0"/>
    <cs:fontRef idx="minor">
      <a:sysClr val="windowText" lastClr="000000"/>
    </cs:fontRef>
    <cs:spPr>
      <a:ln>
        <a:round/>
      </a:ln>
    </cs:spPr>
  </cs:floor>
  <cs:gridlineMajor>
    <cs:lnRef idx="1">
      <a:sysClr val="windowText" lastClr="000000">
        <a:tint val="75000"/>
      </a:sysClr>
    </cs:lnRef>
    <cs:fillRef idx="0"/>
    <cs:effectRef idx="0"/>
    <cs:fontRef idx="minor">
      <a:sysClr val="windowText" lastClr="000000"/>
    </cs:fontRef>
    <cs:spPr>
      <a:ln>
        <a:round/>
      </a:ln>
    </cs:spPr>
  </cs:gridlineMajor>
  <cs:gridlineMinor>
    <cs:lnRef idx="1">
      <a:sysClr val="windowText" lastClr="000000">
        <a:tint val="50000"/>
      </a:sysClr>
    </cs:lnRef>
    <cs:fillRef idx="0"/>
    <cs:effectRef idx="0"/>
    <cs:fontRef idx="minor">
      <a:sysClr val="windowText" lastClr="000000"/>
    </cs:fontRef>
    <cs:spPr>
      <a:ln>
        <a:round/>
      </a:ln>
    </cs:spPr>
  </cs:gridlineMinor>
  <cs:hiLoLine>
    <cs:lnRef idx="1">
      <a:sysClr val="windowText" lastClr="000000"/>
    </cs:lnRef>
    <cs:fillRef idx="0"/>
    <cs:effectRef idx="0"/>
    <cs:fontRef idx="minor">
      <a:sysClr val="windowText" lastClr="000000"/>
    </cs:fontRef>
    <cs:spPr>
      <a:ln>
        <a:round/>
      </a:ln>
    </cs:spPr>
  </cs:hiLoLine>
  <cs:leaderLine>
    <cs:lnRef idx="1">
      <a:sysClr val="windowText" lastClr="000000"/>
    </cs:lnRef>
    <cs:fillRef idx="0"/>
    <cs:effectRef idx="0"/>
    <cs:fontRef idx="minor">
      <a:sysClr val="windowText" lastClr="000000"/>
    </cs:fontRef>
    <cs:spPr>
      <a:ln>
        <a:round/>
      </a:ln>
    </cs:spPr>
  </cs:leaderLine>
  <cs:legend>
    <cs:lnRef idx="0"/>
    <cs:fillRef idx="0"/>
    <cs:effectRef idx="0"/>
    <cs:fontRef idx="minor">
      <a:sysClr val="windowText" lastClr="000000"/>
    </cs:fontRef>
    <cs:defRPr sz="1000" kern="1200"/>
  </cs:legend>
  <cs:plotArea mods="allowNoFillOverride allowNoLineOverride">
    <cs:lnRef idx="0"/>
    <cs:fillRef idx="1">
      <a:sysClr val="window" lastClr="FFFFFF"/>
    </cs:fillRef>
    <cs:effectRef idx="0"/>
    <cs:fontRef idx="minor">
      <a:sysClr val="windowText" lastClr="000000"/>
    </cs:fontRef>
  </cs:plotArea>
  <cs:plotArea3D>
    <cs:lnRef idx="0"/>
    <cs:fillRef idx="0"/>
    <cs:effectRef idx="0"/>
    <cs:fontRef idx="minor">
      <a:sysClr val="windowText" lastClr="000000"/>
    </cs:fontRef>
  </cs:plotArea3D>
  <cs:seriesAxis>
    <cs:lnRef idx="1">
      <a:sysClr val="windowText" lastClr="000000">
        <a:tint val="75000"/>
      </a:sysClr>
    </cs:lnRef>
    <cs:fillRef idx="0"/>
    <cs:effectRef idx="0"/>
    <cs:fontRef idx="minor">
      <a:sysClr val="windowText" lastClr="000000"/>
    </cs:fontRef>
    <cs:spPr>
      <a:ln>
        <a:round/>
      </a:ln>
    </cs:spPr>
    <cs:defRPr sz="1000" kern="1200"/>
  </cs:seriesAxis>
  <cs:seriesLine>
    <cs:lnRef idx="1">
      <a:sysClr val="windowText" lastClr="000000"/>
    </cs:lnRef>
    <cs:fillRef idx="0"/>
    <cs:effectRef idx="0"/>
    <cs:fontRef idx="minor">
      <a:sysClr val="windowText" lastClr="000000"/>
    </cs:fontRef>
    <cs:spPr>
      <a:ln>
        <a:round/>
      </a:ln>
    </cs:spPr>
  </cs:seriesLine>
  <cs:title>
    <cs:lnRef idx="0"/>
    <cs:fillRef idx="0"/>
    <cs:effectRef idx="0"/>
    <cs:fontRef idx="minor">
      <a:sysClr val="windowText" lastClr="000000"/>
    </cs:fontRef>
    <cs:defRPr sz="1800" b="1" kern="1200"/>
  </cs:title>
  <cs:trendline>
    <cs:lnRef idx="1">
      <a:sysClr val="windowText" lastClr="000000"/>
    </cs:lnRef>
    <cs:fillRef idx="0"/>
    <cs:effectRef idx="0"/>
    <cs:fontRef idx="minor">
      <a:sysClr val="windowText" lastClr="000000"/>
    </cs:fontRef>
    <cs:spPr>
      <a:ln cap="rnd">
        <a:round/>
      </a:ln>
    </cs:spPr>
  </cs:trendline>
  <cs:trendlineLabel>
    <cs:lnRef idx="0"/>
    <cs:fillRef idx="0"/>
    <cs:effectRef idx="0"/>
    <cs:fontRef idx="minor">
      <a:sysClr val="windowText" lastClr="000000"/>
    </cs:fontRef>
    <cs:defRPr sz="1000" kern="1200"/>
  </cs:trendlineLabel>
  <cs:upBar>
    <cs:lnRef idx="1">
      <a:sysClr val="windowText" lastClr="000000"/>
    </cs:lnRef>
    <cs:fillRef idx="1" mods="ignoreCSTransforms">
      <cs:styleClr val="0">
        <a:tint val="25000"/>
      </cs:styleClr>
    </cs:fillRef>
    <cs:effectRef idx="0"/>
    <cs:fontRef idx="minor">
      <a:sysClr val="windowText" lastClr="000000"/>
    </cs:fontRef>
    <cs:spPr>
      <a:ln>
        <a:round/>
      </a:ln>
    </cs:spPr>
  </cs:upBar>
  <cs:valueAxis>
    <cs:lnRef idx="1">
      <a:sysClr val="windowText" lastClr="000000">
        <a:tint val="75000"/>
      </a:sysClr>
    </cs:lnRef>
    <cs:fillRef idx="0"/>
    <cs:effectRef idx="0"/>
    <cs:fontRef idx="minor">
      <a:sysClr val="windowText" lastClr="000000"/>
    </cs:fontRef>
    <cs:spPr>
      <a:ln>
        <a:round/>
      </a:ln>
    </cs:spPr>
    <cs:defRPr sz="1000" kern="1200"/>
  </cs:valueAxis>
  <cs:wall>
    <cs:lnRef idx="0"/>
    <cs:fillRef idx="0"/>
    <cs:effectRef idx="0"/>
    <cs:fontRef idx="minor">
      <a:sysClr val="windowText" lastClr="000000"/>
    </cs:fontRef>
  </cs:wall>
</cs:chartStyle>
</file>

<file path=word/charts/style28.xml><?xml version="1.0" encoding="utf-8"?>
<cs:chartStyle xmlns:cs="http://schemas.microsoft.com/office/drawing/2012/chartStyle" xmlns:a="http://schemas.openxmlformats.org/drawingml/2006/main" id="107">
  <cs:axisTitle>
    <cs:lnRef idx="0"/>
    <cs:fillRef idx="0"/>
    <cs:effectRef idx="0"/>
    <cs:fontRef idx="minor">
      <a:sysClr val="windowText" lastClr="000000"/>
    </cs:fontRef>
    <cs:defRPr sz="1000" b="1" kern="1200"/>
  </cs:axisTitle>
  <cs:categoryAxis>
    <cs:lnRef idx="1">
      <a:sysClr val="windowText" lastClr="000000">
        <a:tint val="75000"/>
      </a:sysClr>
    </cs:lnRef>
    <cs:fillRef idx="0"/>
    <cs:effectRef idx="0"/>
    <cs:fontRef idx="minor">
      <a:sysClr val="windowText" lastClr="000000"/>
    </cs:fontRef>
    <cs:spPr>
      <a:ln>
        <a:round/>
      </a:ln>
    </cs:spPr>
    <cs:defRPr sz="1000" kern="1200"/>
  </cs:categoryAxis>
  <cs:chartArea mods="allowNoFillOverride allowNoLineOverride">
    <cs:lnRef idx="1">
      <a:sysClr val="windowText" lastClr="000000">
        <a:tint val="75000"/>
      </a:sysClr>
    </cs:lnRef>
    <cs:fillRef idx="1">
      <a:sysClr val="window" lastClr="FFFFFF"/>
    </cs:fillRef>
    <cs:effectRef idx="0"/>
    <cs:fontRef idx="minor">
      <a:sysClr val="windowText" lastClr="000000"/>
    </cs:fontRef>
    <cs:spPr>
      <a:ln>
        <a:round/>
      </a:ln>
    </cs:spPr>
    <cs:defRPr sz="1000" kern="1200"/>
  </cs:chartArea>
  <cs:dataLabel>
    <cs:lnRef idx="0"/>
    <cs:fillRef idx="0"/>
    <cs:effectRef idx="0"/>
    <cs:fontRef idx="minor">
      <a:sysClr val="windowText" lastClr="000000"/>
    </cs:fontRef>
    <cs:defRPr sz="1000" kern="1200"/>
  </cs:dataLabel>
  <cs:dataLabelCallout>
    <cs:lnRef idx="0"/>
    <cs:fillRef idx="0"/>
    <cs:effectRef idx="0"/>
    <cs:fontRef idx="minor">
      <a:sysClr val="windowText" lastClr="000000"/>
    </cs:fontRef>
    <cs:spPr>
      <a:solidFill>
        <a:sysClr val="window" lastClr="FFFFFF"/>
      </a:solidFill>
      <a:ln>
        <a:solidFill>
          <a:sysClr val="windowText" lastClr="000000">
            <a:lumMod val="65000"/>
            <a:lumOff val="35000"/>
          </a:sysClr>
        </a:solidFill>
      </a:ln>
    </cs:spPr>
    <cs:defRPr sz="1000" kern="1200"/>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1">
      <cs:styleClr val="auto"/>
    </cs:lnRef>
    <cs:lineWidthScale>3</cs:lineWidthScale>
    <cs:fillRef idx="0"/>
    <cs:effectRef idx="0"/>
    <cs:fontRef idx="minor">
      <a:sysClr val="windowText" lastClr="000000"/>
    </cs:fontRef>
    <cs:spPr>
      <a:ln cap="rnd">
        <a:round/>
      </a:ln>
    </cs:spPr>
  </cs:dataPointLine>
  <cs:dataPointMarker>
    <cs:lnRef idx="1">
      <cs:styleClr val="auto"/>
    </cs:lnRef>
    <cs:fillRef idx="1">
      <cs:styleClr val="auto"/>
    </cs:fillRef>
    <cs:effectRef idx="0"/>
    <cs:fontRef idx="minor">
      <a:sysClr val="windowText" lastClr="000000"/>
    </cs:fontRef>
    <cs:spPr>
      <a:ln>
        <a:round/>
      </a:ln>
    </cs:spPr>
  </cs:dataPointMarker>
  <cs:dataPointMarkerLayout/>
  <cs:dataPointWireframe>
    <cs:lnRef idx="1">
      <cs:styleClr val="auto"/>
    </cs:lnRef>
    <cs:fillRef idx="0"/>
    <cs:effectRef idx="0"/>
    <cs:fontRef idx="minor">
      <a:sysClr val="windowText" lastClr="000000"/>
    </cs:fontRef>
    <cs:spPr>
      <a:ln>
        <a:round/>
      </a:ln>
    </cs:spPr>
  </cs:dataPointWireframe>
  <cs:dataTable>
    <cs:lnRef idx="1">
      <a:sysClr val="windowText" lastClr="000000">
        <a:tint val="75000"/>
      </a:sysClr>
    </cs:lnRef>
    <cs:fillRef idx="0"/>
    <cs:effectRef idx="0"/>
    <cs:fontRef idx="minor">
      <a:sysClr val="windowText" lastClr="000000"/>
    </cs:fontRef>
    <cs:spPr>
      <a:ln>
        <a:round/>
      </a:ln>
    </cs:spPr>
    <cs:defRPr sz="1000" kern="1200"/>
  </cs:dataTable>
  <cs:downBar>
    <cs:lnRef idx="1">
      <a:sysClr val="windowText" lastClr="000000"/>
    </cs:lnRef>
    <cs:fillRef idx="1" mods="ignoreCSTransforms">
      <cs:styleClr val="0">
        <a:shade val="25000"/>
      </cs:styleClr>
    </cs:fillRef>
    <cs:effectRef idx="0"/>
    <cs:fontRef idx="minor">
      <a:sysClr val="windowText" lastClr="000000"/>
    </cs:fontRef>
    <cs:spPr>
      <a:ln>
        <a:round/>
      </a:ln>
    </cs:spPr>
  </cs:downBar>
  <cs:dropLine>
    <cs:lnRef idx="1">
      <a:sysClr val="windowText" lastClr="000000"/>
    </cs:lnRef>
    <cs:fillRef idx="0"/>
    <cs:effectRef idx="0"/>
    <cs:fontRef idx="minor">
      <a:sysClr val="windowText" lastClr="000000"/>
    </cs:fontRef>
    <cs:spPr>
      <a:ln>
        <a:round/>
      </a:ln>
    </cs:spPr>
  </cs:dropLine>
  <cs:errorBar>
    <cs:lnRef idx="1">
      <a:sysClr val="windowText" lastClr="000000"/>
    </cs:lnRef>
    <cs:fillRef idx="1">
      <a:sysClr val="windowText" lastClr="000000"/>
    </cs:fillRef>
    <cs:effectRef idx="0"/>
    <cs:fontRef idx="minor">
      <a:sysClr val="windowText" lastClr="000000"/>
    </cs:fontRef>
    <cs:spPr>
      <a:ln>
        <a:round/>
      </a:ln>
    </cs:spPr>
  </cs:errorBar>
  <cs:floor>
    <cs:lnRef idx="1">
      <a:sysClr val="windowText" lastClr="000000">
        <a:tint val="75000"/>
      </a:sysClr>
    </cs:lnRef>
    <cs:fillRef idx="0"/>
    <cs:effectRef idx="0"/>
    <cs:fontRef idx="minor">
      <a:sysClr val="windowText" lastClr="000000"/>
    </cs:fontRef>
    <cs:spPr>
      <a:ln>
        <a:round/>
      </a:ln>
    </cs:spPr>
  </cs:floor>
  <cs:gridlineMajor>
    <cs:lnRef idx="1">
      <a:sysClr val="windowText" lastClr="000000">
        <a:tint val="75000"/>
      </a:sysClr>
    </cs:lnRef>
    <cs:fillRef idx="0"/>
    <cs:effectRef idx="0"/>
    <cs:fontRef idx="minor">
      <a:sysClr val="windowText" lastClr="000000"/>
    </cs:fontRef>
    <cs:spPr>
      <a:ln>
        <a:round/>
      </a:ln>
    </cs:spPr>
  </cs:gridlineMajor>
  <cs:gridlineMinor>
    <cs:lnRef idx="1">
      <a:sysClr val="windowText" lastClr="000000">
        <a:tint val="50000"/>
      </a:sysClr>
    </cs:lnRef>
    <cs:fillRef idx="0"/>
    <cs:effectRef idx="0"/>
    <cs:fontRef idx="minor">
      <a:sysClr val="windowText" lastClr="000000"/>
    </cs:fontRef>
    <cs:spPr>
      <a:ln>
        <a:round/>
      </a:ln>
    </cs:spPr>
  </cs:gridlineMinor>
  <cs:hiLoLine>
    <cs:lnRef idx="1">
      <a:sysClr val="windowText" lastClr="000000"/>
    </cs:lnRef>
    <cs:fillRef idx="0"/>
    <cs:effectRef idx="0"/>
    <cs:fontRef idx="minor">
      <a:sysClr val="windowText" lastClr="000000"/>
    </cs:fontRef>
    <cs:spPr>
      <a:ln>
        <a:round/>
      </a:ln>
    </cs:spPr>
  </cs:hiLoLine>
  <cs:leaderLine>
    <cs:lnRef idx="1">
      <a:sysClr val="windowText" lastClr="000000"/>
    </cs:lnRef>
    <cs:fillRef idx="0"/>
    <cs:effectRef idx="0"/>
    <cs:fontRef idx="minor">
      <a:sysClr val="windowText" lastClr="000000"/>
    </cs:fontRef>
    <cs:spPr>
      <a:ln>
        <a:round/>
      </a:ln>
    </cs:spPr>
  </cs:leaderLine>
  <cs:legend>
    <cs:lnRef idx="0"/>
    <cs:fillRef idx="0"/>
    <cs:effectRef idx="0"/>
    <cs:fontRef idx="minor">
      <a:sysClr val="windowText" lastClr="000000"/>
    </cs:fontRef>
    <cs:defRPr sz="1000" kern="1200"/>
  </cs:legend>
  <cs:plotArea mods="allowNoFillOverride allowNoLineOverride">
    <cs:lnRef idx="0"/>
    <cs:fillRef idx="1">
      <a:sysClr val="window" lastClr="FFFFFF"/>
    </cs:fillRef>
    <cs:effectRef idx="0"/>
    <cs:fontRef idx="minor">
      <a:sysClr val="windowText" lastClr="000000"/>
    </cs:fontRef>
  </cs:plotArea>
  <cs:plotArea3D>
    <cs:lnRef idx="0"/>
    <cs:fillRef idx="0"/>
    <cs:effectRef idx="0"/>
    <cs:fontRef idx="minor">
      <a:sysClr val="windowText" lastClr="000000"/>
    </cs:fontRef>
  </cs:plotArea3D>
  <cs:seriesAxis>
    <cs:lnRef idx="1">
      <a:sysClr val="windowText" lastClr="000000">
        <a:tint val="75000"/>
      </a:sysClr>
    </cs:lnRef>
    <cs:fillRef idx="0"/>
    <cs:effectRef idx="0"/>
    <cs:fontRef idx="minor">
      <a:sysClr val="windowText" lastClr="000000"/>
    </cs:fontRef>
    <cs:spPr>
      <a:ln>
        <a:round/>
      </a:ln>
    </cs:spPr>
    <cs:defRPr sz="1000" kern="1200"/>
  </cs:seriesAxis>
  <cs:seriesLine>
    <cs:lnRef idx="1">
      <a:sysClr val="windowText" lastClr="000000"/>
    </cs:lnRef>
    <cs:fillRef idx="0"/>
    <cs:effectRef idx="0"/>
    <cs:fontRef idx="minor">
      <a:sysClr val="windowText" lastClr="000000"/>
    </cs:fontRef>
    <cs:spPr>
      <a:ln>
        <a:round/>
      </a:ln>
    </cs:spPr>
  </cs:seriesLine>
  <cs:title>
    <cs:lnRef idx="0"/>
    <cs:fillRef idx="0"/>
    <cs:effectRef idx="0"/>
    <cs:fontRef idx="minor">
      <a:sysClr val="windowText" lastClr="000000"/>
    </cs:fontRef>
    <cs:defRPr sz="1800" b="1" kern="1200"/>
  </cs:title>
  <cs:trendline>
    <cs:lnRef idx="1">
      <a:sysClr val="windowText" lastClr="000000"/>
    </cs:lnRef>
    <cs:fillRef idx="0"/>
    <cs:effectRef idx="0"/>
    <cs:fontRef idx="minor">
      <a:sysClr val="windowText" lastClr="000000"/>
    </cs:fontRef>
    <cs:spPr>
      <a:ln cap="rnd">
        <a:round/>
      </a:ln>
    </cs:spPr>
  </cs:trendline>
  <cs:trendlineLabel>
    <cs:lnRef idx="0"/>
    <cs:fillRef idx="0"/>
    <cs:effectRef idx="0"/>
    <cs:fontRef idx="minor">
      <a:sysClr val="windowText" lastClr="000000"/>
    </cs:fontRef>
    <cs:defRPr sz="1000" kern="1200"/>
  </cs:trendlineLabel>
  <cs:upBar>
    <cs:lnRef idx="1">
      <a:sysClr val="windowText" lastClr="000000"/>
    </cs:lnRef>
    <cs:fillRef idx="1" mods="ignoreCSTransforms">
      <cs:styleClr val="0">
        <a:tint val="25000"/>
      </cs:styleClr>
    </cs:fillRef>
    <cs:effectRef idx="0"/>
    <cs:fontRef idx="minor">
      <a:sysClr val="windowText" lastClr="000000"/>
    </cs:fontRef>
    <cs:spPr>
      <a:ln>
        <a:round/>
      </a:ln>
    </cs:spPr>
  </cs:upBar>
  <cs:valueAxis>
    <cs:lnRef idx="1">
      <a:sysClr val="windowText" lastClr="000000">
        <a:tint val="75000"/>
      </a:sysClr>
    </cs:lnRef>
    <cs:fillRef idx="0"/>
    <cs:effectRef idx="0"/>
    <cs:fontRef idx="minor">
      <a:sysClr val="windowText" lastClr="000000"/>
    </cs:fontRef>
    <cs:spPr>
      <a:ln>
        <a:round/>
      </a:ln>
    </cs:spPr>
    <cs:defRPr sz="1000" kern="1200"/>
  </cs:valueAxis>
  <cs:wall>
    <cs:lnRef idx="0"/>
    <cs:fillRef idx="0"/>
    <cs:effectRef idx="0"/>
    <cs:fontRef idx="minor">
      <a:sysClr val="windowText" lastClr="000000"/>
    </cs:fontRef>
  </cs:wall>
</cs:chartStyle>
</file>

<file path=word/charts/style29.xml><?xml version="1.0" encoding="utf-8"?>
<cs:chartStyle xmlns:cs="http://schemas.microsoft.com/office/drawing/2012/chartStyle" xmlns:a="http://schemas.openxmlformats.org/drawingml/2006/main" id="107">
  <cs:axisTitle>
    <cs:lnRef idx="0"/>
    <cs:fillRef idx="0"/>
    <cs:effectRef idx="0"/>
    <cs:fontRef idx="minor">
      <a:sysClr val="windowText" lastClr="000000"/>
    </cs:fontRef>
    <cs:defRPr sz="1000" b="1" kern="1200"/>
  </cs:axisTitle>
  <cs:categoryAxis>
    <cs:lnRef idx="1">
      <a:sysClr val="windowText" lastClr="000000">
        <a:tint val="75000"/>
      </a:sysClr>
    </cs:lnRef>
    <cs:fillRef idx="0"/>
    <cs:effectRef idx="0"/>
    <cs:fontRef idx="minor">
      <a:sysClr val="windowText" lastClr="000000"/>
    </cs:fontRef>
    <cs:spPr>
      <a:ln>
        <a:round/>
      </a:ln>
    </cs:spPr>
    <cs:defRPr sz="1000" kern="1200"/>
  </cs:categoryAxis>
  <cs:chartArea mods="allowNoFillOverride allowNoLineOverride">
    <cs:lnRef idx="1">
      <a:sysClr val="windowText" lastClr="000000">
        <a:tint val="75000"/>
      </a:sysClr>
    </cs:lnRef>
    <cs:fillRef idx="1">
      <a:sysClr val="window" lastClr="FFFFFF"/>
    </cs:fillRef>
    <cs:effectRef idx="0"/>
    <cs:fontRef idx="minor">
      <a:sysClr val="windowText" lastClr="000000"/>
    </cs:fontRef>
    <cs:spPr>
      <a:ln>
        <a:round/>
      </a:ln>
    </cs:spPr>
    <cs:defRPr sz="1000" kern="1200"/>
  </cs:chartArea>
  <cs:dataLabel>
    <cs:lnRef idx="0"/>
    <cs:fillRef idx="0"/>
    <cs:effectRef idx="0"/>
    <cs:fontRef idx="minor">
      <a:sysClr val="windowText" lastClr="000000"/>
    </cs:fontRef>
    <cs:defRPr sz="1000" kern="1200"/>
  </cs:dataLabel>
  <cs:dataLabelCallout>
    <cs:lnRef idx="0"/>
    <cs:fillRef idx="0"/>
    <cs:effectRef idx="0"/>
    <cs:fontRef idx="minor">
      <a:sysClr val="windowText" lastClr="000000"/>
    </cs:fontRef>
    <cs:spPr>
      <a:solidFill>
        <a:sysClr val="window" lastClr="FFFFFF"/>
      </a:solidFill>
      <a:ln>
        <a:solidFill>
          <a:sysClr val="windowText" lastClr="000000">
            <a:lumMod val="65000"/>
            <a:lumOff val="35000"/>
          </a:sysClr>
        </a:solidFill>
      </a:ln>
    </cs:spPr>
    <cs:defRPr sz="1000" kern="1200"/>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1">
      <cs:styleClr val="auto"/>
    </cs:lnRef>
    <cs:lineWidthScale>3</cs:lineWidthScale>
    <cs:fillRef idx="0"/>
    <cs:effectRef idx="0"/>
    <cs:fontRef idx="minor">
      <a:sysClr val="windowText" lastClr="000000"/>
    </cs:fontRef>
    <cs:spPr>
      <a:ln cap="rnd">
        <a:round/>
      </a:ln>
    </cs:spPr>
  </cs:dataPointLine>
  <cs:dataPointMarker>
    <cs:lnRef idx="1">
      <cs:styleClr val="auto"/>
    </cs:lnRef>
    <cs:fillRef idx="1">
      <cs:styleClr val="auto"/>
    </cs:fillRef>
    <cs:effectRef idx="0"/>
    <cs:fontRef idx="minor">
      <a:sysClr val="windowText" lastClr="000000"/>
    </cs:fontRef>
    <cs:spPr>
      <a:ln>
        <a:round/>
      </a:ln>
    </cs:spPr>
  </cs:dataPointMarker>
  <cs:dataPointMarkerLayout/>
  <cs:dataPointWireframe>
    <cs:lnRef idx="1">
      <cs:styleClr val="auto"/>
    </cs:lnRef>
    <cs:fillRef idx="0"/>
    <cs:effectRef idx="0"/>
    <cs:fontRef idx="minor">
      <a:sysClr val="windowText" lastClr="000000"/>
    </cs:fontRef>
    <cs:spPr>
      <a:ln>
        <a:round/>
      </a:ln>
    </cs:spPr>
  </cs:dataPointWireframe>
  <cs:dataTable>
    <cs:lnRef idx="1">
      <a:sysClr val="windowText" lastClr="000000">
        <a:tint val="75000"/>
      </a:sysClr>
    </cs:lnRef>
    <cs:fillRef idx="0"/>
    <cs:effectRef idx="0"/>
    <cs:fontRef idx="minor">
      <a:sysClr val="windowText" lastClr="000000"/>
    </cs:fontRef>
    <cs:spPr>
      <a:ln>
        <a:round/>
      </a:ln>
    </cs:spPr>
    <cs:defRPr sz="1000" kern="1200"/>
  </cs:dataTable>
  <cs:downBar>
    <cs:lnRef idx="1">
      <a:sysClr val="windowText" lastClr="000000"/>
    </cs:lnRef>
    <cs:fillRef idx="1" mods="ignoreCSTransforms">
      <cs:styleClr val="0">
        <a:shade val="25000"/>
      </cs:styleClr>
    </cs:fillRef>
    <cs:effectRef idx="0"/>
    <cs:fontRef idx="minor">
      <a:sysClr val="windowText" lastClr="000000"/>
    </cs:fontRef>
    <cs:spPr>
      <a:ln>
        <a:round/>
      </a:ln>
    </cs:spPr>
  </cs:downBar>
  <cs:dropLine>
    <cs:lnRef idx="1">
      <a:sysClr val="windowText" lastClr="000000"/>
    </cs:lnRef>
    <cs:fillRef idx="0"/>
    <cs:effectRef idx="0"/>
    <cs:fontRef idx="minor">
      <a:sysClr val="windowText" lastClr="000000"/>
    </cs:fontRef>
    <cs:spPr>
      <a:ln>
        <a:round/>
      </a:ln>
    </cs:spPr>
  </cs:dropLine>
  <cs:errorBar>
    <cs:lnRef idx="1">
      <a:sysClr val="windowText" lastClr="000000"/>
    </cs:lnRef>
    <cs:fillRef idx="1">
      <a:sysClr val="windowText" lastClr="000000"/>
    </cs:fillRef>
    <cs:effectRef idx="0"/>
    <cs:fontRef idx="minor">
      <a:sysClr val="windowText" lastClr="000000"/>
    </cs:fontRef>
    <cs:spPr>
      <a:ln>
        <a:round/>
      </a:ln>
    </cs:spPr>
  </cs:errorBar>
  <cs:floor>
    <cs:lnRef idx="1">
      <a:sysClr val="windowText" lastClr="000000">
        <a:tint val="75000"/>
      </a:sysClr>
    </cs:lnRef>
    <cs:fillRef idx="0"/>
    <cs:effectRef idx="0"/>
    <cs:fontRef idx="minor">
      <a:sysClr val="windowText" lastClr="000000"/>
    </cs:fontRef>
    <cs:spPr>
      <a:ln>
        <a:round/>
      </a:ln>
    </cs:spPr>
  </cs:floor>
  <cs:gridlineMajor>
    <cs:lnRef idx="1">
      <a:sysClr val="windowText" lastClr="000000">
        <a:tint val="75000"/>
      </a:sysClr>
    </cs:lnRef>
    <cs:fillRef idx="0"/>
    <cs:effectRef idx="0"/>
    <cs:fontRef idx="minor">
      <a:sysClr val="windowText" lastClr="000000"/>
    </cs:fontRef>
    <cs:spPr>
      <a:ln>
        <a:round/>
      </a:ln>
    </cs:spPr>
  </cs:gridlineMajor>
  <cs:gridlineMinor>
    <cs:lnRef idx="1">
      <a:sysClr val="windowText" lastClr="000000">
        <a:tint val="50000"/>
      </a:sysClr>
    </cs:lnRef>
    <cs:fillRef idx="0"/>
    <cs:effectRef idx="0"/>
    <cs:fontRef idx="minor">
      <a:sysClr val="windowText" lastClr="000000"/>
    </cs:fontRef>
    <cs:spPr>
      <a:ln>
        <a:round/>
      </a:ln>
    </cs:spPr>
  </cs:gridlineMinor>
  <cs:hiLoLine>
    <cs:lnRef idx="1">
      <a:sysClr val="windowText" lastClr="000000"/>
    </cs:lnRef>
    <cs:fillRef idx="0"/>
    <cs:effectRef idx="0"/>
    <cs:fontRef idx="minor">
      <a:sysClr val="windowText" lastClr="000000"/>
    </cs:fontRef>
    <cs:spPr>
      <a:ln>
        <a:round/>
      </a:ln>
    </cs:spPr>
  </cs:hiLoLine>
  <cs:leaderLine>
    <cs:lnRef idx="1">
      <a:sysClr val="windowText" lastClr="000000"/>
    </cs:lnRef>
    <cs:fillRef idx="0"/>
    <cs:effectRef idx="0"/>
    <cs:fontRef idx="minor">
      <a:sysClr val="windowText" lastClr="000000"/>
    </cs:fontRef>
    <cs:spPr>
      <a:ln>
        <a:round/>
      </a:ln>
    </cs:spPr>
  </cs:leaderLine>
  <cs:legend>
    <cs:lnRef idx="0"/>
    <cs:fillRef idx="0"/>
    <cs:effectRef idx="0"/>
    <cs:fontRef idx="minor">
      <a:sysClr val="windowText" lastClr="000000"/>
    </cs:fontRef>
    <cs:defRPr sz="1000" kern="1200"/>
  </cs:legend>
  <cs:plotArea mods="allowNoFillOverride allowNoLineOverride">
    <cs:lnRef idx="0"/>
    <cs:fillRef idx="1">
      <a:sysClr val="window" lastClr="FFFFFF"/>
    </cs:fillRef>
    <cs:effectRef idx="0"/>
    <cs:fontRef idx="minor">
      <a:sysClr val="windowText" lastClr="000000"/>
    </cs:fontRef>
  </cs:plotArea>
  <cs:plotArea3D>
    <cs:lnRef idx="0"/>
    <cs:fillRef idx="0"/>
    <cs:effectRef idx="0"/>
    <cs:fontRef idx="minor">
      <a:sysClr val="windowText" lastClr="000000"/>
    </cs:fontRef>
  </cs:plotArea3D>
  <cs:seriesAxis>
    <cs:lnRef idx="1">
      <a:sysClr val="windowText" lastClr="000000">
        <a:tint val="75000"/>
      </a:sysClr>
    </cs:lnRef>
    <cs:fillRef idx="0"/>
    <cs:effectRef idx="0"/>
    <cs:fontRef idx="minor">
      <a:sysClr val="windowText" lastClr="000000"/>
    </cs:fontRef>
    <cs:spPr>
      <a:ln>
        <a:round/>
      </a:ln>
    </cs:spPr>
    <cs:defRPr sz="1000" kern="1200"/>
  </cs:seriesAxis>
  <cs:seriesLine>
    <cs:lnRef idx="1">
      <a:sysClr val="windowText" lastClr="000000"/>
    </cs:lnRef>
    <cs:fillRef idx="0"/>
    <cs:effectRef idx="0"/>
    <cs:fontRef idx="minor">
      <a:sysClr val="windowText" lastClr="000000"/>
    </cs:fontRef>
    <cs:spPr>
      <a:ln>
        <a:round/>
      </a:ln>
    </cs:spPr>
  </cs:seriesLine>
  <cs:title>
    <cs:lnRef idx="0"/>
    <cs:fillRef idx="0"/>
    <cs:effectRef idx="0"/>
    <cs:fontRef idx="minor">
      <a:sysClr val="windowText" lastClr="000000"/>
    </cs:fontRef>
    <cs:defRPr sz="1800" b="1" kern="1200"/>
  </cs:title>
  <cs:trendline>
    <cs:lnRef idx="1">
      <a:sysClr val="windowText" lastClr="000000"/>
    </cs:lnRef>
    <cs:fillRef idx="0"/>
    <cs:effectRef idx="0"/>
    <cs:fontRef idx="minor">
      <a:sysClr val="windowText" lastClr="000000"/>
    </cs:fontRef>
    <cs:spPr>
      <a:ln cap="rnd">
        <a:round/>
      </a:ln>
    </cs:spPr>
  </cs:trendline>
  <cs:trendlineLabel>
    <cs:lnRef idx="0"/>
    <cs:fillRef idx="0"/>
    <cs:effectRef idx="0"/>
    <cs:fontRef idx="minor">
      <a:sysClr val="windowText" lastClr="000000"/>
    </cs:fontRef>
    <cs:defRPr sz="1000" kern="1200"/>
  </cs:trendlineLabel>
  <cs:upBar>
    <cs:lnRef idx="1">
      <a:sysClr val="windowText" lastClr="000000"/>
    </cs:lnRef>
    <cs:fillRef idx="1" mods="ignoreCSTransforms">
      <cs:styleClr val="0">
        <a:tint val="25000"/>
      </cs:styleClr>
    </cs:fillRef>
    <cs:effectRef idx="0"/>
    <cs:fontRef idx="minor">
      <a:sysClr val="windowText" lastClr="000000"/>
    </cs:fontRef>
    <cs:spPr>
      <a:ln>
        <a:round/>
      </a:ln>
    </cs:spPr>
  </cs:upBar>
  <cs:valueAxis>
    <cs:lnRef idx="1">
      <a:sysClr val="windowText" lastClr="000000">
        <a:tint val="75000"/>
      </a:sysClr>
    </cs:lnRef>
    <cs:fillRef idx="0"/>
    <cs:effectRef idx="0"/>
    <cs:fontRef idx="minor">
      <a:sysClr val="windowText" lastClr="000000"/>
    </cs:fontRef>
    <cs:spPr>
      <a:ln>
        <a:round/>
      </a:ln>
    </cs:spPr>
    <cs:defRPr sz="1000" kern="1200"/>
  </cs:valueAxis>
  <cs:wall>
    <cs:lnRef idx="0"/>
    <cs:fillRef idx="0"/>
    <cs:effectRef idx="0"/>
    <cs:fontRef idx="minor">
      <a:sysClr val="windowText" lastClr="000000"/>
    </cs:fontRef>
  </cs:wall>
</cs:chartStyle>
</file>

<file path=word/charts/style3.xml><?xml version="1.0" encoding="utf-8"?>
<cs:chartStyle xmlns:cs="http://schemas.microsoft.com/office/drawing/2012/chartStyle" xmlns:a="http://schemas.openxmlformats.org/drawingml/2006/main" id="107">
  <cs:axisTitle>
    <cs:lnRef idx="0"/>
    <cs:fillRef idx="0"/>
    <cs:effectRef idx="0"/>
    <cs:fontRef idx="minor">
      <a:sysClr val="windowText" lastClr="000000"/>
    </cs:fontRef>
    <cs:defRPr sz="1000" b="1" kern="1200"/>
  </cs:axisTitle>
  <cs:categoryAxis>
    <cs:lnRef idx="1">
      <a:sysClr val="windowText" lastClr="000000">
        <a:tint val="75000"/>
      </a:sysClr>
    </cs:lnRef>
    <cs:fillRef idx="0"/>
    <cs:effectRef idx="0"/>
    <cs:fontRef idx="minor">
      <a:sysClr val="windowText" lastClr="000000"/>
    </cs:fontRef>
    <cs:spPr>
      <a:ln>
        <a:round/>
      </a:ln>
    </cs:spPr>
    <cs:defRPr sz="1000" kern="1200"/>
  </cs:categoryAxis>
  <cs:chartArea mods="allowNoFillOverride allowNoLineOverride">
    <cs:lnRef idx="1">
      <a:sysClr val="windowText" lastClr="000000">
        <a:tint val="75000"/>
      </a:sysClr>
    </cs:lnRef>
    <cs:fillRef idx="1">
      <a:sysClr val="window" lastClr="FFFFFF"/>
    </cs:fillRef>
    <cs:effectRef idx="0"/>
    <cs:fontRef idx="minor">
      <a:sysClr val="windowText" lastClr="000000"/>
    </cs:fontRef>
    <cs:spPr>
      <a:ln>
        <a:round/>
      </a:ln>
    </cs:spPr>
    <cs:defRPr sz="1000" kern="1200"/>
  </cs:chartArea>
  <cs:dataLabel>
    <cs:lnRef idx="0"/>
    <cs:fillRef idx="0"/>
    <cs:effectRef idx="0"/>
    <cs:fontRef idx="minor">
      <a:sysClr val="windowText" lastClr="000000"/>
    </cs:fontRef>
    <cs:defRPr sz="1000" kern="1200"/>
  </cs:dataLabel>
  <cs:dataLabelCallout>
    <cs:lnRef idx="0"/>
    <cs:fillRef idx="0"/>
    <cs:effectRef idx="0"/>
    <cs:fontRef idx="minor">
      <a:sysClr val="windowText" lastClr="000000"/>
    </cs:fontRef>
    <cs:spPr>
      <a:solidFill>
        <a:sysClr val="window" lastClr="FFFFFF"/>
      </a:solidFill>
      <a:ln>
        <a:solidFill>
          <a:sysClr val="windowText" lastClr="000000">
            <a:lumMod val="65000"/>
            <a:lumOff val="35000"/>
          </a:sysClr>
        </a:solidFill>
      </a:ln>
    </cs:spPr>
    <cs:defRPr sz="1000" kern="1200"/>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1">
      <cs:styleClr val="auto"/>
    </cs:lnRef>
    <cs:lineWidthScale>3</cs:lineWidthScale>
    <cs:fillRef idx="0"/>
    <cs:effectRef idx="0"/>
    <cs:fontRef idx="minor">
      <a:sysClr val="windowText" lastClr="000000"/>
    </cs:fontRef>
    <cs:spPr>
      <a:ln cap="rnd">
        <a:round/>
      </a:ln>
    </cs:spPr>
  </cs:dataPointLine>
  <cs:dataPointMarker>
    <cs:lnRef idx="1">
      <cs:styleClr val="auto"/>
    </cs:lnRef>
    <cs:fillRef idx="1">
      <cs:styleClr val="auto"/>
    </cs:fillRef>
    <cs:effectRef idx="0"/>
    <cs:fontRef idx="minor">
      <a:sysClr val="windowText" lastClr="000000"/>
    </cs:fontRef>
    <cs:spPr>
      <a:ln>
        <a:round/>
      </a:ln>
    </cs:spPr>
  </cs:dataPointMarker>
  <cs:dataPointMarkerLayout/>
  <cs:dataPointWireframe>
    <cs:lnRef idx="1">
      <cs:styleClr val="auto"/>
    </cs:lnRef>
    <cs:fillRef idx="0"/>
    <cs:effectRef idx="0"/>
    <cs:fontRef idx="minor">
      <a:sysClr val="windowText" lastClr="000000"/>
    </cs:fontRef>
    <cs:spPr>
      <a:ln>
        <a:round/>
      </a:ln>
    </cs:spPr>
  </cs:dataPointWireframe>
  <cs:dataTable>
    <cs:lnRef idx="1">
      <a:sysClr val="windowText" lastClr="000000">
        <a:tint val="75000"/>
      </a:sysClr>
    </cs:lnRef>
    <cs:fillRef idx="0"/>
    <cs:effectRef idx="0"/>
    <cs:fontRef idx="minor">
      <a:sysClr val="windowText" lastClr="000000"/>
    </cs:fontRef>
    <cs:spPr>
      <a:ln>
        <a:round/>
      </a:ln>
    </cs:spPr>
    <cs:defRPr sz="1000" kern="1200"/>
  </cs:dataTable>
  <cs:downBar>
    <cs:lnRef idx="1">
      <a:sysClr val="windowText" lastClr="000000"/>
    </cs:lnRef>
    <cs:fillRef idx="1" mods="ignoreCSTransforms">
      <cs:styleClr val="0">
        <a:shade val="25000"/>
      </cs:styleClr>
    </cs:fillRef>
    <cs:effectRef idx="0"/>
    <cs:fontRef idx="minor">
      <a:sysClr val="windowText" lastClr="000000"/>
    </cs:fontRef>
    <cs:spPr>
      <a:ln>
        <a:round/>
      </a:ln>
    </cs:spPr>
  </cs:downBar>
  <cs:dropLine>
    <cs:lnRef idx="1">
      <a:sysClr val="windowText" lastClr="000000"/>
    </cs:lnRef>
    <cs:fillRef idx="0"/>
    <cs:effectRef idx="0"/>
    <cs:fontRef idx="minor">
      <a:sysClr val="windowText" lastClr="000000"/>
    </cs:fontRef>
    <cs:spPr>
      <a:ln>
        <a:round/>
      </a:ln>
    </cs:spPr>
  </cs:dropLine>
  <cs:errorBar>
    <cs:lnRef idx="1">
      <a:sysClr val="windowText" lastClr="000000"/>
    </cs:lnRef>
    <cs:fillRef idx="1">
      <a:sysClr val="windowText" lastClr="000000"/>
    </cs:fillRef>
    <cs:effectRef idx="0"/>
    <cs:fontRef idx="minor">
      <a:sysClr val="windowText" lastClr="000000"/>
    </cs:fontRef>
    <cs:spPr>
      <a:ln>
        <a:round/>
      </a:ln>
    </cs:spPr>
  </cs:errorBar>
  <cs:floor>
    <cs:lnRef idx="1">
      <a:sysClr val="windowText" lastClr="000000">
        <a:tint val="75000"/>
      </a:sysClr>
    </cs:lnRef>
    <cs:fillRef idx="0"/>
    <cs:effectRef idx="0"/>
    <cs:fontRef idx="minor">
      <a:sysClr val="windowText" lastClr="000000"/>
    </cs:fontRef>
    <cs:spPr>
      <a:ln>
        <a:round/>
      </a:ln>
    </cs:spPr>
  </cs:floor>
  <cs:gridlineMajor>
    <cs:lnRef idx="1">
      <a:sysClr val="windowText" lastClr="000000">
        <a:tint val="75000"/>
      </a:sysClr>
    </cs:lnRef>
    <cs:fillRef idx="0"/>
    <cs:effectRef idx="0"/>
    <cs:fontRef idx="minor">
      <a:sysClr val="windowText" lastClr="000000"/>
    </cs:fontRef>
    <cs:spPr>
      <a:ln>
        <a:round/>
      </a:ln>
    </cs:spPr>
  </cs:gridlineMajor>
  <cs:gridlineMinor>
    <cs:lnRef idx="1">
      <a:sysClr val="windowText" lastClr="000000">
        <a:tint val="50000"/>
      </a:sysClr>
    </cs:lnRef>
    <cs:fillRef idx="0"/>
    <cs:effectRef idx="0"/>
    <cs:fontRef idx="minor">
      <a:sysClr val="windowText" lastClr="000000"/>
    </cs:fontRef>
    <cs:spPr>
      <a:ln>
        <a:round/>
      </a:ln>
    </cs:spPr>
  </cs:gridlineMinor>
  <cs:hiLoLine>
    <cs:lnRef idx="1">
      <a:sysClr val="windowText" lastClr="000000"/>
    </cs:lnRef>
    <cs:fillRef idx="0"/>
    <cs:effectRef idx="0"/>
    <cs:fontRef idx="minor">
      <a:sysClr val="windowText" lastClr="000000"/>
    </cs:fontRef>
    <cs:spPr>
      <a:ln>
        <a:round/>
      </a:ln>
    </cs:spPr>
  </cs:hiLoLine>
  <cs:leaderLine>
    <cs:lnRef idx="1">
      <a:sysClr val="windowText" lastClr="000000"/>
    </cs:lnRef>
    <cs:fillRef idx="0"/>
    <cs:effectRef idx="0"/>
    <cs:fontRef idx="minor">
      <a:sysClr val="windowText" lastClr="000000"/>
    </cs:fontRef>
    <cs:spPr>
      <a:ln>
        <a:round/>
      </a:ln>
    </cs:spPr>
  </cs:leaderLine>
  <cs:legend>
    <cs:lnRef idx="0"/>
    <cs:fillRef idx="0"/>
    <cs:effectRef idx="0"/>
    <cs:fontRef idx="minor">
      <a:sysClr val="windowText" lastClr="000000"/>
    </cs:fontRef>
    <cs:defRPr sz="1000" kern="1200"/>
  </cs:legend>
  <cs:plotArea mods="allowNoFillOverride allowNoLineOverride">
    <cs:lnRef idx="0"/>
    <cs:fillRef idx="1">
      <a:sysClr val="window" lastClr="FFFFFF"/>
    </cs:fillRef>
    <cs:effectRef idx="0"/>
    <cs:fontRef idx="minor">
      <a:sysClr val="windowText" lastClr="000000"/>
    </cs:fontRef>
  </cs:plotArea>
  <cs:plotArea3D>
    <cs:lnRef idx="0"/>
    <cs:fillRef idx="0"/>
    <cs:effectRef idx="0"/>
    <cs:fontRef idx="minor">
      <a:sysClr val="windowText" lastClr="000000"/>
    </cs:fontRef>
  </cs:plotArea3D>
  <cs:seriesAxis>
    <cs:lnRef idx="1">
      <a:sysClr val="windowText" lastClr="000000">
        <a:tint val="75000"/>
      </a:sysClr>
    </cs:lnRef>
    <cs:fillRef idx="0"/>
    <cs:effectRef idx="0"/>
    <cs:fontRef idx="minor">
      <a:sysClr val="windowText" lastClr="000000"/>
    </cs:fontRef>
    <cs:spPr>
      <a:ln>
        <a:round/>
      </a:ln>
    </cs:spPr>
    <cs:defRPr sz="1000" kern="1200"/>
  </cs:seriesAxis>
  <cs:seriesLine>
    <cs:lnRef idx="1">
      <a:sysClr val="windowText" lastClr="000000"/>
    </cs:lnRef>
    <cs:fillRef idx="0"/>
    <cs:effectRef idx="0"/>
    <cs:fontRef idx="minor">
      <a:sysClr val="windowText" lastClr="000000"/>
    </cs:fontRef>
    <cs:spPr>
      <a:ln>
        <a:round/>
      </a:ln>
    </cs:spPr>
  </cs:seriesLine>
  <cs:title>
    <cs:lnRef idx="0"/>
    <cs:fillRef idx="0"/>
    <cs:effectRef idx="0"/>
    <cs:fontRef idx="minor">
      <a:sysClr val="windowText" lastClr="000000"/>
    </cs:fontRef>
    <cs:defRPr sz="1800" b="1" kern="1200"/>
  </cs:title>
  <cs:trendline>
    <cs:lnRef idx="1">
      <a:sysClr val="windowText" lastClr="000000"/>
    </cs:lnRef>
    <cs:fillRef idx="0"/>
    <cs:effectRef idx="0"/>
    <cs:fontRef idx="minor">
      <a:sysClr val="windowText" lastClr="000000"/>
    </cs:fontRef>
    <cs:spPr>
      <a:ln cap="rnd">
        <a:round/>
      </a:ln>
    </cs:spPr>
  </cs:trendline>
  <cs:trendlineLabel>
    <cs:lnRef idx="0"/>
    <cs:fillRef idx="0"/>
    <cs:effectRef idx="0"/>
    <cs:fontRef idx="minor">
      <a:sysClr val="windowText" lastClr="000000"/>
    </cs:fontRef>
    <cs:defRPr sz="1000" kern="1200"/>
  </cs:trendlineLabel>
  <cs:upBar>
    <cs:lnRef idx="1">
      <a:sysClr val="windowText" lastClr="000000"/>
    </cs:lnRef>
    <cs:fillRef idx="1" mods="ignoreCSTransforms">
      <cs:styleClr val="0">
        <a:tint val="25000"/>
      </cs:styleClr>
    </cs:fillRef>
    <cs:effectRef idx="0"/>
    <cs:fontRef idx="minor">
      <a:sysClr val="windowText" lastClr="000000"/>
    </cs:fontRef>
    <cs:spPr>
      <a:ln>
        <a:round/>
      </a:ln>
    </cs:spPr>
  </cs:upBar>
  <cs:valueAxis>
    <cs:lnRef idx="1">
      <a:sysClr val="windowText" lastClr="000000">
        <a:tint val="75000"/>
      </a:sysClr>
    </cs:lnRef>
    <cs:fillRef idx="0"/>
    <cs:effectRef idx="0"/>
    <cs:fontRef idx="minor">
      <a:sysClr val="windowText" lastClr="000000"/>
    </cs:fontRef>
    <cs:spPr>
      <a:ln>
        <a:round/>
      </a:ln>
    </cs:spPr>
    <cs:defRPr sz="1000" kern="1200"/>
  </cs:valueAxis>
  <cs:wall>
    <cs:lnRef idx="0"/>
    <cs:fillRef idx="0"/>
    <cs:effectRef idx="0"/>
    <cs:fontRef idx="minor">
      <a:sysClr val="windowText" lastClr="000000"/>
    </cs:fontRef>
  </cs:wall>
</cs:chartStyle>
</file>

<file path=word/charts/style30.xml><?xml version="1.0" encoding="utf-8"?>
<cs:chartStyle xmlns:cs="http://schemas.microsoft.com/office/drawing/2012/chartStyle" xmlns:a="http://schemas.openxmlformats.org/drawingml/2006/main" id="107">
  <cs:axisTitle>
    <cs:lnRef idx="0"/>
    <cs:fillRef idx="0"/>
    <cs:effectRef idx="0"/>
    <cs:fontRef idx="minor">
      <a:sysClr val="windowText" lastClr="000000"/>
    </cs:fontRef>
    <cs:defRPr sz="1000" b="1" kern="1200"/>
  </cs:axisTitle>
  <cs:categoryAxis>
    <cs:lnRef idx="1">
      <a:sysClr val="windowText" lastClr="000000">
        <a:tint val="75000"/>
      </a:sysClr>
    </cs:lnRef>
    <cs:fillRef idx="0"/>
    <cs:effectRef idx="0"/>
    <cs:fontRef idx="minor">
      <a:sysClr val="windowText" lastClr="000000"/>
    </cs:fontRef>
    <cs:spPr>
      <a:ln>
        <a:round/>
      </a:ln>
    </cs:spPr>
    <cs:defRPr sz="1000" kern="1200"/>
  </cs:categoryAxis>
  <cs:chartArea mods="allowNoFillOverride allowNoLineOverride">
    <cs:lnRef idx="1">
      <a:sysClr val="windowText" lastClr="000000">
        <a:tint val="75000"/>
      </a:sysClr>
    </cs:lnRef>
    <cs:fillRef idx="1">
      <a:sysClr val="window" lastClr="FFFFFF"/>
    </cs:fillRef>
    <cs:effectRef idx="0"/>
    <cs:fontRef idx="minor">
      <a:sysClr val="windowText" lastClr="000000"/>
    </cs:fontRef>
    <cs:spPr>
      <a:ln>
        <a:round/>
      </a:ln>
    </cs:spPr>
    <cs:defRPr sz="1000" kern="1200"/>
  </cs:chartArea>
  <cs:dataLabel>
    <cs:lnRef idx="0"/>
    <cs:fillRef idx="0"/>
    <cs:effectRef idx="0"/>
    <cs:fontRef idx="minor">
      <a:sysClr val="windowText" lastClr="000000"/>
    </cs:fontRef>
    <cs:defRPr sz="1000" kern="1200"/>
  </cs:dataLabel>
  <cs:dataLabelCallout>
    <cs:lnRef idx="0"/>
    <cs:fillRef idx="0"/>
    <cs:effectRef idx="0"/>
    <cs:fontRef idx="minor">
      <a:sysClr val="windowText" lastClr="000000"/>
    </cs:fontRef>
    <cs:spPr>
      <a:solidFill>
        <a:sysClr val="window" lastClr="FFFFFF"/>
      </a:solidFill>
      <a:ln>
        <a:solidFill>
          <a:sysClr val="windowText" lastClr="000000">
            <a:lumMod val="65000"/>
            <a:lumOff val="35000"/>
          </a:sysClr>
        </a:solidFill>
      </a:ln>
    </cs:spPr>
    <cs:defRPr sz="1000" kern="1200"/>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1">
      <cs:styleClr val="auto"/>
    </cs:lnRef>
    <cs:lineWidthScale>3</cs:lineWidthScale>
    <cs:fillRef idx="0"/>
    <cs:effectRef idx="0"/>
    <cs:fontRef idx="minor">
      <a:sysClr val="windowText" lastClr="000000"/>
    </cs:fontRef>
    <cs:spPr>
      <a:ln cap="rnd">
        <a:round/>
      </a:ln>
    </cs:spPr>
  </cs:dataPointLine>
  <cs:dataPointMarker>
    <cs:lnRef idx="1">
      <cs:styleClr val="auto"/>
    </cs:lnRef>
    <cs:fillRef idx="1">
      <cs:styleClr val="auto"/>
    </cs:fillRef>
    <cs:effectRef idx="0"/>
    <cs:fontRef idx="minor">
      <a:sysClr val="windowText" lastClr="000000"/>
    </cs:fontRef>
    <cs:spPr>
      <a:ln>
        <a:round/>
      </a:ln>
    </cs:spPr>
  </cs:dataPointMarker>
  <cs:dataPointMarkerLayout/>
  <cs:dataPointWireframe>
    <cs:lnRef idx="1">
      <cs:styleClr val="auto"/>
    </cs:lnRef>
    <cs:fillRef idx="0"/>
    <cs:effectRef idx="0"/>
    <cs:fontRef idx="minor">
      <a:sysClr val="windowText" lastClr="000000"/>
    </cs:fontRef>
    <cs:spPr>
      <a:ln>
        <a:round/>
      </a:ln>
    </cs:spPr>
  </cs:dataPointWireframe>
  <cs:dataTable>
    <cs:lnRef idx="1">
      <a:sysClr val="windowText" lastClr="000000">
        <a:tint val="75000"/>
      </a:sysClr>
    </cs:lnRef>
    <cs:fillRef idx="0"/>
    <cs:effectRef idx="0"/>
    <cs:fontRef idx="minor">
      <a:sysClr val="windowText" lastClr="000000"/>
    </cs:fontRef>
    <cs:spPr>
      <a:ln>
        <a:round/>
      </a:ln>
    </cs:spPr>
    <cs:defRPr sz="1000" kern="1200"/>
  </cs:dataTable>
  <cs:downBar>
    <cs:lnRef idx="1">
      <a:sysClr val="windowText" lastClr="000000"/>
    </cs:lnRef>
    <cs:fillRef idx="1" mods="ignoreCSTransforms">
      <cs:styleClr val="0">
        <a:shade val="25000"/>
      </cs:styleClr>
    </cs:fillRef>
    <cs:effectRef idx="0"/>
    <cs:fontRef idx="minor">
      <a:sysClr val="windowText" lastClr="000000"/>
    </cs:fontRef>
    <cs:spPr>
      <a:ln>
        <a:round/>
      </a:ln>
    </cs:spPr>
  </cs:downBar>
  <cs:dropLine>
    <cs:lnRef idx="1">
      <a:sysClr val="windowText" lastClr="000000"/>
    </cs:lnRef>
    <cs:fillRef idx="0"/>
    <cs:effectRef idx="0"/>
    <cs:fontRef idx="minor">
      <a:sysClr val="windowText" lastClr="000000"/>
    </cs:fontRef>
    <cs:spPr>
      <a:ln>
        <a:round/>
      </a:ln>
    </cs:spPr>
  </cs:dropLine>
  <cs:errorBar>
    <cs:lnRef idx="1">
      <a:sysClr val="windowText" lastClr="000000"/>
    </cs:lnRef>
    <cs:fillRef idx="1">
      <a:sysClr val="windowText" lastClr="000000"/>
    </cs:fillRef>
    <cs:effectRef idx="0"/>
    <cs:fontRef idx="minor">
      <a:sysClr val="windowText" lastClr="000000"/>
    </cs:fontRef>
    <cs:spPr>
      <a:ln>
        <a:round/>
      </a:ln>
    </cs:spPr>
  </cs:errorBar>
  <cs:floor>
    <cs:lnRef idx="1">
      <a:sysClr val="windowText" lastClr="000000">
        <a:tint val="75000"/>
      </a:sysClr>
    </cs:lnRef>
    <cs:fillRef idx="0"/>
    <cs:effectRef idx="0"/>
    <cs:fontRef idx="minor">
      <a:sysClr val="windowText" lastClr="000000"/>
    </cs:fontRef>
    <cs:spPr>
      <a:ln>
        <a:round/>
      </a:ln>
    </cs:spPr>
  </cs:floor>
  <cs:gridlineMajor>
    <cs:lnRef idx="1">
      <a:sysClr val="windowText" lastClr="000000">
        <a:tint val="75000"/>
      </a:sysClr>
    </cs:lnRef>
    <cs:fillRef idx="0"/>
    <cs:effectRef idx="0"/>
    <cs:fontRef idx="minor">
      <a:sysClr val="windowText" lastClr="000000"/>
    </cs:fontRef>
    <cs:spPr>
      <a:ln>
        <a:round/>
      </a:ln>
    </cs:spPr>
  </cs:gridlineMajor>
  <cs:gridlineMinor>
    <cs:lnRef idx="1">
      <a:sysClr val="windowText" lastClr="000000">
        <a:tint val="50000"/>
      </a:sysClr>
    </cs:lnRef>
    <cs:fillRef idx="0"/>
    <cs:effectRef idx="0"/>
    <cs:fontRef idx="minor">
      <a:sysClr val="windowText" lastClr="000000"/>
    </cs:fontRef>
    <cs:spPr>
      <a:ln>
        <a:round/>
      </a:ln>
    </cs:spPr>
  </cs:gridlineMinor>
  <cs:hiLoLine>
    <cs:lnRef idx="1">
      <a:sysClr val="windowText" lastClr="000000"/>
    </cs:lnRef>
    <cs:fillRef idx="0"/>
    <cs:effectRef idx="0"/>
    <cs:fontRef idx="minor">
      <a:sysClr val="windowText" lastClr="000000"/>
    </cs:fontRef>
    <cs:spPr>
      <a:ln>
        <a:round/>
      </a:ln>
    </cs:spPr>
  </cs:hiLoLine>
  <cs:leaderLine>
    <cs:lnRef idx="1">
      <a:sysClr val="windowText" lastClr="000000"/>
    </cs:lnRef>
    <cs:fillRef idx="0"/>
    <cs:effectRef idx="0"/>
    <cs:fontRef idx="minor">
      <a:sysClr val="windowText" lastClr="000000"/>
    </cs:fontRef>
    <cs:spPr>
      <a:ln>
        <a:round/>
      </a:ln>
    </cs:spPr>
  </cs:leaderLine>
  <cs:legend>
    <cs:lnRef idx="0"/>
    <cs:fillRef idx="0"/>
    <cs:effectRef idx="0"/>
    <cs:fontRef idx="minor">
      <a:sysClr val="windowText" lastClr="000000"/>
    </cs:fontRef>
    <cs:defRPr sz="1000" kern="1200"/>
  </cs:legend>
  <cs:plotArea mods="allowNoFillOverride allowNoLineOverride">
    <cs:lnRef idx="0"/>
    <cs:fillRef idx="1">
      <a:sysClr val="window" lastClr="FFFFFF"/>
    </cs:fillRef>
    <cs:effectRef idx="0"/>
    <cs:fontRef idx="minor">
      <a:sysClr val="windowText" lastClr="000000"/>
    </cs:fontRef>
  </cs:plotArea>
  <cs:plotArea3D>
    <cs:lnRef idx="0"/>
    <cs:fillRef idx="0"/>
    <cs:effectRef idx="0"/>
    <cs:fontRef idx="minor">
      <a:sysClr val="windowText" lastClr="000000"/>
    </cs:fontRef>
  </cs:plotArea3D>
  <cs:seriesAxis>
    <cs:lnRef idx="1">
      <a:sysClr val="windowText" lastClr="000000">
        <a:tint val="75000"/>
      </a:sysClr>
    </cs:lnRef>
    <cs:fillRef idx="0"/>
    <cs:effectRef idx="0"/>
    <cs:fontRef idx="minor">
      <a:sysClr val="windowText" lastClr="000000"/>
    </cs:fontRef>
    <cs:spPr>
      <a:ln>
        <a:round/>
      </a:ln>
    </cs:spPr>
    <cs:defRPr sz="1000" kern="1200"/>
  </cs:seriesAxis>
  <cs:seriesLine>
    <cs:lnRef idx="1">
      <a:sysClr val="windowText" lastClr="000000"/>
    </cs:lnRef>
    <cs:fillRef idx="0"/>
    <cs:effectRef idx="0"/>
    <cs:fontRef idx="minor">
      <a:sysClr val="windowText" lastClr="000000"/>
    </cs:fontRef>
    <cs:spPr>
      <a:ln>
        <a:round/>
      </a:ln>
    </cs:spPr>
  </cs:seriesLine>
  <cs:title>
    <cs:lnRef idx="0"/>
    <cs:fillRef idx="0"/>
    <cs:effectRef idx="0"/>
    <cs:fontRef idx="minor">
      <a:sysClr val="windowText" lastClr="000000"/>
    </cs:fontRef>
    <cs:defRPr sz="1800" b="1" kern="1200"/>
  </cs:title>
  <cs:trendline>
    <cs:lnRef idx="1">
      <a:sysClr val="windowText" lastClr="000000"/>
    </cs:lnRef>
    <cs:fillRef idx="0"/>
    <cs:effectRef idx="0"/>
    <cs:fontRef idx="minor">
      <a:sysClr val="windowText" lastClr="000000"/>
    </cs:fontRef>
    <cs:spPr>
      <a:ln cap="rnd">
        <a:round/>
      </a:ln>
    </cs:spPr>
  </cs:trendline>
  <cs:trendlineLabel>
    <cs:lnRef idx="0"/>
    <cs:fillRef idx="0"/>
    <cs:effectRef idx="0"/>
    <cs:fontRef idx="minor">
      <a:sysClr val="windowText" lastClr="000000"/>
    </cs:fontRef>
    <cs:defRPr sz="1000" kern="1200"/>
  </cs:trendlineLabel>
  <cs:upBar>
    <cs:lnRef idx="1">
      <a:sysClr val="windowText" lastClr="000000"/>
    </cs:lnRef>
    <cs:fillRef idx="1" mods="ignoreCSTransforms">
      <cs:styleClr val="0">
        <a:tint val="25000"/>
      </cs:styleClr>
    </cs:fillRef>
    <cs:effectRef idx="0"/>
    <cs:fontRef idx="minor">
      <a:sysClr val="windowText" lastClr="000000"/>
    </cs:fontRef>
    <cs:spPr>
      <a:ln>
        <a:round/>
      </a:ln>
    </cs:spPr>
  </cs:upBar>
  <cs:valueAxis>
    <cs:lnRef idx="1">
      <a:sysClr val="windowText" lastClr="000000">
        <a:tint val="75000"/>
      </a:sysClr>
    </cs:lnRef>
    <cs:fillRef idx="0"/>
    <cs:effectRef idx="0"/>
    <cs:fontRef idx="minor">
      <a:sysClr val="windowText" lastClr="000000"/>
    </cs:fontRef>
    <cs:spPr>
      <a:ln>
        <a:round/>
      </a:ln>
    </cs:spPr>
    <cs:defRPr sz="1000" kern="1200"/>
  </cs:valueAxis>
  <cs:wall>
    <cs:lnRef idx="0"/>
    <cs:fillRef idx="0"/>
    <cs:effectRef idx="0"/>
    <cs:fontRef idx="minor">
      <a:sysClr val="windowText" lastClr="000000"/>
    </cs:fontRef>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32.xml><?xml version="1.0" encoding="utf-8"?>
<cs:chartStyle xmlns:cs="http://schemas.microsoft.com/office/drawing/2012/chartStyle" xmlns:a="http://schemas.openxmlformats.org/drawingml/2006/main" id="107">
  <cs:axisTitle>
    <cs:lnRef idx="0"/>
    <cs:fillRef idx="0"/>
    <cs:effectRef idx="0"/>
    <cs:fontRef idx="minor">
      <a:sysClr val="windowText" lastClr="000000"/>
    </cs:fontRef>
    <cs:defRPr sz="1000" b="1" kern="1200"/>
  </cs:axisTitle>
  <cs:categoryAxis>
    <cs:lnRef idx="1">
      <a:sysClr val="windowText" lastClr="000000">
        <a:tint val="75000"/>
      </a:sysClr>
    </cs:lnRef>
    <cs:fillRef idx="0"/>
    <cs:effectRef idx="0"/>
    <cs:fontRef idx="minor">
      <a:sysClr val="windowText" lastClr="000000"/>
    </cs:fontRef>
    <cs:spPr>
      <a:ln>
        <a:round/>
      </a:ln>
    </cs:spPr>
    <cs:defRPr sz="1000" kern="1200"/>
  </cs:categoryAxis>
  <cs:chartArea mods="allowNoFillOverride allowNoLineOverride">
    <cs:lnRef idx="1">
      <a:sysClr val="windowText" lastClr="000000">
        <a:tint val="75000"/>
      </a:sysClr>
    </cs:lnRef>
    <cs:fillRef idx="1">
      <a:sysClr val="window" lastClr="FFFFFF"/>
    </cs:fillRef>
    <cs:effectRef idx="0"/>
    <cs:fontRef idx="minor">
      <a:sysClr val="windowText" lastClr="000000"/>
    </cs:fontRef>
    <cs:spPr>
      <a:ln>
        <a:round/>
      </a:ln>
    </cs:spPr>
    <cs:defRPr sz="1000" kern="1200"/>
  </cs:chartArea>
  <cs:dataLabel>
    <cs:lnRef idx="0"/>
    <cs:fillRef idx="0"/>
    <cs:effectRef idx="0"/>
    <cs:fontRef idx="minor">
      <a:sysClr val="windowText" lastClr="000000"/>
    </cs:fontRef>
    <cs:defRPr sz="1000" kern="1200"/>
  </cs:dataLabel>
  <cs:dataLabelCallout>
    <cs:lnRef idx="0"/>
    <cs:fillRef idx="0"/>
    <cs:effectRef idx="0"/>
    <cs:fontRef idx="minor">
      <a:sysClr val="windowText" lastClr="000000"/>
    </cs:fontRef>
    <cs:spPr>
      <a:solidFill>
        <a:sysClr val="window" lastClr="FFFFFF"/>
      </a:solidFill>
      <a:ln>
        <a:solidFill>
          <a:sysClr val="windowText" lastClr="000000">
            <a:lumMod val="65000"/>
            <a:lumOff val="35000"/>
          </a:sysClr>
        </a:solidFill>
      </a:ln>
    </cs:spPr>
    <cs:defRPr sz="1000" kern="1200"/>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1">
      <cs:styleClr val="auto"/>
    </cs:lnRef>
    <cs:lineWidthScale>3</cs:lineWidthScale>
    <cs:fillRef idx="0"/>
    <cs:effectRef idx="0"/>
    <cs:fontRef idx="minor">
      <a:sysClr val="windowText" lastClr="000000"/>
    </cs:fontRef>
    <cs:spPr>
      <a:ln cap="rnd">
        <a:round/>
      </a:ln>
    </cs:spPr>
  </cs:dataPointLine>
  <cs:dataPointMarker>
    <cs:lnRef idx="1">
      <cs:styleClr val="auto"/>
    </cs:lnRef>
    <cs:fillRef idx="1">
      <cs:styleClr val="auto"/>
    </cs:fillRef>
    <cs:effectRef idx="0"/>
    <cs:fontRef idx="minor">
      <a:sysClr val="windowText" lastClr="000000"/>
    </cs:fontRef>
    <cs:spPr>
      <a:ln>
        <a:round/>
      </a:ln>
    </cs:spPr>
  </cs:dataPointMarker>
  <cs:dataPointMarkerLayout/>
  <cs:dataPointWireframe>
    <cs:lnRef idx="1">
      <cs:styleClr val="auto"/>
    </cs:lnRef>
    <cs:fillRef idx="0"/>
    <cs:effectRef idx="0"/>
    <cs:fontRef idx="minor">
      <a:sysClr val="windowText" lastClr="000000"/>
    </cs:fontRef>
    <cs:spPr>
      <a:ln>
        <a:round/>
      </a:ln>
    </cs:spPr>
  </cs:dataPointWireframe>
  <cs:dataTable>
    <cs:lnRef idx="1">
      <a:sysClr val="windowText" lastClr="000000">
        <a:tint val="75000"/>
      </a:sysClr>
    </cs:lnRef>
    <cs:fillRef idx="0"/>
    <cs:effectRef idx="0"/>
    <cs:fontRef idx="minor">
      <a:sysClr val="windowText" lastClr="000000"/>
    </cs:fontRef>
    <cs:spPr>
      <a:ln>
        <a:round/>
      </a:ln>
    </cs:spPr>
    <cs:defRPr sz="1000" kern="1200"/>
  </cs:dataTable>
  <cs:downBar>
    <cs:lnRef idx="1">
      <a:sysClr val="windowText" lastClr="000000"/>
    </cs:lnRef>
    <cs:fillRef idx="1" mods="ignoreCSTransforms">
      <cs:styleClr val="0">
        <a:shade val="25000"/>
      </cs:styleClr>
    </cs:fillRef>
    <cs:effectRef idx="0"/>
    <cs:fontRef idx="minor">
      <a:sysClr val="windowText" lastClr="000000"/>
    </cs:fontRef>
    <cs:spPr>
      <a:ln>
        <a:round/>
      </a:ln>
    </cs:spPr>
  </cs:downBar>
  <cs:dropLine>
    <cs:lnRef idx="1">
      <a:sysClr val="windowText" lastClr="000000"/>
    </cs:lnRef>
    <cs:fillRef idx="0"/>
    <cs:effectRef idx="0"/>
    <cs:fontRef idx="minor">
      <a:sysClr val="windowText" lastClr="000000"/>
    </cs:fontRef>
    <cs:spPr>
      <a:ln>
        <a:round/>
      </a:ln>
    </cs:spPr>
  </cs:dropLine>
  <cs:errorBar>
    <cs:lnRef idx="1">
      <a:sysClr val="windowText" lastClr="000000"/>
    </cs:lnRef>
    <cs:fillRef idx="1">
      <a:sysClr val="windowText" lastClr="000000"/>
    </cs:fillRef>
    <cs:effectRef idx="0"/>
    <cs:fontRef idx="minor">
      <a:sysClr val="windowText" lastClr="000000"/>
    </cs:fontRef>
    <cs:spPr>
      <a:ln>
        <a:round/>
      </a:ln>
    </cs:spPr>
  </cs:errorBar>
  <cs:floor>
    <cs:lnRef idx="1">
      <a:sysClr val="windowText" lastClr="000000">
        <a:tint val="75000"/>
      </a:sysClr>
    </cs:lnRef>
    <cs:fillRef idx="0"/>
    <cs:effectRef idx="0"/>
    <cs:fontRef idx="minor">
      <a:sysClr val="windowText" lastClr="000000"/>
    </cs:fontRef>
    <cs:spPr>
      <a:ln>
        <a:round/>
      </a:ln>
    </cs:spPr>
  </cs:floor>
  <cs:gridlineMajor>
    <cs:lnRef idx="1">
      <a:sysClr val="windowText" lastClr="000000">
        <a:tint val="75000"/>
      </a:sysClr>
    </cs:lnRef>
    <cs:fillRef idx="0"/>
    <cs:effectRef idx="0"/>
    <cs:fontRef idx="minor">
      <a:sysClr val="windowText" lastClr="000000"/>
    </cs:fontRef>
    <cs:spPr>
      <a:ln>
        <a:round/>
      </a:ln>
    </cs:spPr>
  </cs:gridlineMajor>
  <cs:gridlineMinor>
    <cs:lnRef idx="1">
      <a:sysClr val="windowText" lastClr="000000">
        <a:tint val="50000"/>
      </a:sysClr>
    </cs:lnRef>
    <cs:fillRef idx="0"/>
    <cs:effectRef idx="0"/>
    <cs:fontRef idx="minor">
      <a:sysClr val="windowText" lastClr="000000"/>
    </cs:fontRef>
    <cs:spPr>
      <a:ln>
        <a:round/>
      </a:ln>
    </cs:spPr>
  </cs:gridlineMinor>
  <cs:hiLoLine>
    <cs:lnRef idx="1">
      <a:sysClr val="windowText" lastClr="000000"/>
    </cs:lnRef>
    <cs:fillRef idx="0"/>
    <cs:effectRef idx="0"/>
    <cs:fontRef idx="minor">
      <a:sysClr val="windowText" lastClr="000000"/>
    </cs:fontRef>
    <cs:spPr>
      <a:ln>
        <a:round/>
      </a:ln>
    </cs:spPr>
  </cs:hiLoLine>
  <cs:leaderLine>
    <cs:lnRef idx="1">
      <a:sysClr val="windowText" lastClr="000000"/>
    </cs:lnRef>
    <cs:fillRef idx="0"/>
    <cs:effectRef idx="0"/>
    <cs:fontRef idx="minor">
      <a:sysClr val="windowText" lastClr="000000"/>
    </cs:fontRef>
    <cs:spPr>
      <a:ln>
        <a:round/>
      </a:ln>
    </cs:spPr>
  </cs:leaderLine>
  <cs:legend>
    <cs:lnRef idx="0"/>
    <cs:fillRef idx="0"/>
    <cs:effectRef idx="0"/>
    <cs:fontRef idx="minor">
      <a:sysClr val="windowText" lastClr="000000"/>
    </cs:fontRef>
    <cs:defRPr sz="1000" kern="1200"/>
  </cs:legend>
  <cs:plotArea mods="allowNoFillOverride allowNoLineOverride">
    <cs:lnRef idx="0"/>
    <cs:fillRef idx="1">
      <a:sysClr val="window" lastClr="FFFFFF"/>
    </cs:fillRef>
    <cs:effectRef idx="0"/>
    <cs:fontRef idx="minor">
      <a:sysClr val="windowText" lastClr="000000"/>
    </cs:fontRef>
  </cs:plotArea>
  <cs:plotArea3D>
    <cs:lnRef idx="0"/>
    <cs:fillRef idx="0"/>
    <cs:effectRef idx="0"/>
    <cs:fontRef idx="minor">
      <a:sysClr val="windowText" lastClr="000000"/>
    </cs:fontRef>
  </cs:plotArea3D>
  <cs:seriesAxis>
    <cs:lnRef idx="1">
      <a:sysClr val="windowText" lastClr="000000">
        <a:tint val="75000"/>
      </a:sysClr>
    </cs:lnRef>
    <cs:fillRef idx="0"/>
    <cs:effectRef idx="0"/>
    <cs:fontRef idx="minor">
      <a:sysClr val="windowText" lastClr="000000"/>
    </cs:fontRef>
    <cs:spPr>
      <a:ln>
        <a:round/>
      </a:ln>
    </cs:spPr>
    <cs:defRPr sz="1000" kern="1200"/>
  </cs:seriesAxis>
  <cs:seriesLine>
    <cs:lnRef idx="1">
      <a:sysClr val="windowText" lastClr="000000"/>
    </cs:lnRef>
    <cs:fillRef idx="0"/>
    <cs:effectRef idx="0"/>
    <cs:fontRef idx="minor">
      <a:sysClr val="windowText" lastClr="000000"/>
    </cs:fontRef>
    <cs:spPr>
      <a:ln>
        <a:round/>
      </a:ln>
    </cs:spPr>
  </cs:seriesLine>
  <cs:title>
    <cs:lnRef idx="0"/>
    <cs:fillRef idx="0"/>
    <cs:effectRef idx="0"/>
    <cs:fontRef idx="minor">
      <a:sysClr val="windowText" lastClr="000000"/>
    </cs:fontRef>
    <cs:defRPr sz="1800" b="1" kern="1200"/>
  </cs:title>
  <cs:trendline>
    <cs:lnRef idx="1">
      <a:sysClr val="windowText" lastClr="000000"/>
    </cs:lnRef>
    <cs:fillRef idx="0"/>
    <cs:effectRef idx="0"/>
    <cs:fontRef idx="minor">
      <a:sysClr val="windowText" lastClr="000000"/>
    </cs:fontRef>
    <cs:spPr>
      <a:ln cap="rnd">
        <a:round/>
      </a:ln>
    </cs:spPr>
  </cs:trendline>
  <cs:trendlineLabel>
    <cs:lnRef idx="0"/>
    <cs:fillRef idx="0"/>
    <cs:effectRef idx="0"/>
    <cs:fontRef idx="minor">
      <a:sysClr val="windowText" lastClr="000000"/>
    </cs:fontRef>
    <cs:defRPr sz="1000" kern="1200"/>
  </cs:trendlineLabel>
  <cs:upBar>
    <cs:lnRef idx="1">
      <a:sysClr val="windowText" lastClr="000000"/>
    </cs:lnRef>
    <cs:fillRef idx="1" mods="ignoreCSTransforms">
      <cs:styleClr val="0">
        <a:tint val="25000"/>
      </cs:styleClr>
    </cs:fillRef>
    <cs:effectRef idx="0"/>
    <cs:fontRef idx="minor">
      <a:sysClr val="windowText" lastClr="000000"/>
    </cs:fontRef>
    <cs:spPr>
      <a:ln>
        <a:round/>
      </a:ln>
    </cs:spPr>
  </cs:upBar>
  <cs:valueAxis>
    <cs:lnRef idx="1">
      <a:sysClr val="windowText" lastClr="000000">
        <a:tint val="75000"/>
      </a:sysClr>
    </cs:lnRef>
    <cs:fillRef idx="0"/>
    <cs:effectRef idx="0"/>
    <cs:fontRef idx="minor">
      <a:sysClr val="windowText" lastClr="000000"/>
    </cs:fontRef>
    <cs:spPr>
      <a:ln>
        <a:round/>
      </a:ln>
    </cs:spPr>
    <cs:defRPr sz="1000" kern="1200"/>
  </cs:valueAxis>
  <cs:wall>
    <cs:lnRef idx="0"/>
    <cs:fillRef idx="0"/>
    <cs:effectRef idx="0"/>
    <cs:fontRef idx="minor">
      <a:sysClr val="windowText" lastClr="000000"/>
    </cs:fontRef>
  </cs:wall>
</cs:chartStyle>
</file>

<file path=word/charts/style33.xml><?xml version="1.0" encoding="utf-8"?>
<cs:chartStyle xmlns:cs="http://schemas.microsoft.com/office/drawing/2012/chartStyle" xmlns:a="http://schemas.openxmlformats.org/drawingml/2006/main" id="107">
  <cs:axisTitle>
    <cs:lnRef idx="0"/>
    <cs:fillRef idx="0"/>
    <cs:effectRef idx="0"/>
    <cs:fontRef idx="minor">
      <a:sysClr val="windowText" lastClr="000000"/>
    </cs:fontRef>
    <cs:defRPr sz="1000" b="1" kern="1200"/>
  </cs:axisTitle>
  <cs:categoryAxis>
    <cs:lnRef idx="1">
      <a:sysClr val="windowText" lastClr="000000">
        <a:tint val="75000"/>
      </a:sysClr>
    </cs:lnRef>
    <cs:fillRef idx="0"/>
    <cs:effectRef idx="0"/>
    <cs:fontRef idx="minor">
      <a:sysClr val="windowText" lastClr="000000"/>
    </cs:fontRef>
    <cs:spPr>
      <a:ln>
        <a:round/>
      </a:ln>
    </cs:spPr>
    <cs:defRPr sz="1000" kern="1200"/>
  </cs:categoryAxis>
  <cs:chartArea mods="allowNoFillOverride allowNoLineOverride">
    <cs:lnRef idx="1">
      <a:sysClr val="windowText" lastClr="000000">
        <a:tint val="75000"/>
      </a:sysClr>
    </cs:lnRef>
    <cs:fillRef idx="1">
      <a:sysClr val="window" lastClr="FFFFFF"/>
    </cs:fillRef>
    <cs:effectRef idx="0"/>
    <cs:fontRef idx="minor">
      <a:sysClr val="windowText" lastClr="000000"/>
    </cs:fontRef>
    <cs:spPr>
      <a:ln>
        <a:round/>
      </a:ln>
    </cs:spPr>
    <cs:defRPr sz="1000" kern="1200"/>
  </cs:chartArea>
  <cs:dataLabel>
    <cs:lnRef idx="0"/>
    <cs:fillRef idx="0"/>
    <cs:effectRef idx="0"/>
    <cs:fontRef idx="minor">
      <a:sysClr val="windowText" lastClr="000000"/>
    </cs:fontRef>
    <cs:defRPr sz="1000" kern="1200"/>
  </cs:dataLabel>
  <cs:dataLabelCallout>
    <cs:lnRef idx="0"/>
    <cs:fillRef idx="0"/>
    <cs:effectRef idx="0"/>
    <cs:fontRef idx="minor">
      <a:sysClr val="windowText" lastClr="000000"/>
    </cs:fontRef>
    <cs:spPr>
      <a:solidFill>
        <a:sysClr val="window" lastClr="FFFFFF"/>
      </a:solidFill>
      <a:ln>
        <a:solidFill>
          <a:sysClr val="windowText" lastClr="000000">
            <a:lumMod val="65000"/>
            <a:lumOff val="35000"/>
          </a:sysClr>
        </a:solidFill>
      </a:ln>
    </cs:spPr>
    <cs:defRPr sz="1000" kern="1200"/>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1">
      <cs:styleClr val="auto"/>
    </cs:lnRef>
    <cs:lineWidthScale>3</cs:lineWidthScale>
    <cs:fillRef idx="0"/>
    <cs:effectRef idx="0"/>
    <cs:fontRef idx="minor">
      <a:sysClr val="windowText" lastClr="000000"/>
    </cs:fontRef>
    <cs:spPr>
      <a:ln cap="rnd">
        <a:round/>
      </a:ln>
    </cs:spPr>
  </cs:dataPointLine>
  <cs:dataPointMarker>
    <cs:lnRef idx="1">
      <cs:styleClr val="auto"/>
    </cs:lnRef>
    <cs:fillRef idx="1">
      <cs:styleClr val="auto"/>
    </cs:fillRef>
    <cs:effectRef idx="0"/>
    <cs:fontRef idx="minor">
      <a:sysClr val="windowText" lastClr="000000"/>
    </cs:fontRef>
    <cs:spPr>
      <a:ln>
        <a:round/>
      </a:ln>
    </cs:spPr>
  </cs:dataPointMarker>
  <cs:dataPointMarkerLayout/>
  <cs:dataPointWireframe>
    <cs:lnRef idx="1">
      <cs:styleClr val="auto"/>
    </cs:lnRef>
    <cs:fillRef idx="0"/>
    <cs:effectRef idx="0"/>
    <cs:fontRef idx="minor">
      <a:sysClr val="windowText" lastClr="000000"/>
    </cs:fontRef>
    <cs:spPr>
      <a:ln>
        <a:round/>
      </a:ln>
    </cs:spPr>
  </cs:dataPointWireframe>
  <cs:dataTable>
    <cs:lnRef idx="1">
      <a:sysClr val="windowText" lastClr="000000">
        <a:tint val="75000"/>
      </a:sysClr>
    </cs:lnRef>
    <cs:fillRef idx="0"/>
    <cs:effectRef idx="0"/>
    <cs:fontRef idx="minor">
      <a:sysClr val="windowText" lastClr="000000"/>
    </cs:fontRef>
    <cs:spPr>
      <a:ln>
        <a:round/>
      </a:ln>
    </cs:spPr>
    <cs:defRPr sz="1000" kern="1200"/>
  </cs:dataTable>
  <cs:downBar>
    <cs:lnRef idx="1">
      <a:sysClr val="windowText" lastClr="000000"/>
    </cs:lnRef>
    <cs:fillRef idx="1" mods="ignoreCSTransforms">
      <cs:styleClr val="0">
        <a:shade val="25000"/>
      </cs:styleClr>
    </cs:fillRef>
    <cs:effectRef idx="0"/>
    <cs:fontRef idx="minor">
      <a:sysClr val="windowText" lastClr="000000"/>
    </cs:fontRef>
    <cs:spPr>
      <a:ln>
        <a:round/>
      </a:ln>
    </cs:spPr>
  </cs:downBar>
  <cs:dropLine>
    <cs:lnRef idx="1">
      <a:sysClr val="windowText" lastClr="000000"/>
    </cs:lnRef>
    <cs:fillRef idx="0"/>
    <cs:effectRef idx="0"/>
    <cs:fontRef idx="minor">
      <a:sysClr val="windowText" lastClr="000000"/>
    </cs:fontRef>
    <cs:spPr>
      <a:ln>
        <a:round/>
      </a:ln>
    </cs:spPr>
  </cs:dropLine>
  <cs:errorBar>
    <cs:lnRef idx="1">
      <a:sysClr val="windowText" lastClr="000000"/>
    </cs:lnRef>
    <cs:fillRef idx="1">
      <a:sysClr val="windowText" lastClr="000000"/>
    </cs:fillRef>
    <cs:effectRef idx="0"/>
    <cs:fontRef idx="minor">
      <a:sysClr val="windowText" lastClr="000000"/>
    </cs:fontRef>
    <cs:spPr>
      <a:ln>
        <a:round/>
      </a:ln>
    </cs:spPr>
  </cs:errorBar>
  <cs:floor>
    <cs:lnRef idx="1">
      <a:sysClr val="windowText" lastClr="000000">
        <a:tint val="75000"/>
      </a:sysClr>
    </cs:lnRef>
    <cs:fillRef idx="0"/>
    <cs:effectRef idx="0"/>
    <cs:fontRef idx="minor">
      <a:sysClr val="windowText" lastClr="000000"/>
    </cs:fontRef>
    <cs:spPr>
      <a:ln>
        <a:round/>
      </a:ln>
    </cs:spPr>
  </cs:floor>
  <cs:gridlineMajor>
    <cs:lnRef idx="1">
      <a:sysClr val="windowText" lastClr="000000">
        <a:tint val="75000"/>
      </a:sysClr>
    </cs:lnRef>
    <cs:fillRef idx="0"/>
    <cs:effectRef idx="0"/>
    <cs:fontRef idx="minor">
      <a:sysClr val="windowText" lastClr="000000"/>
    </cs:fontRef>
    <cs:spPr>
      <a:ln>
        <a:round/>
      </a:ln>
    </cs:spPr>
  </cs:gridlineMajor>
  <cs:gridlineMinor>
    <cs:lnRef idx="1">
      <a:sysClr val="windowText" lastClr="000000">
        <a:tint val="50000"/>
      </a:sysClr>
    </cs:lnRef>
    <cs:fillRef idx="0"/>
    <cs:effectRef idx="0"/>
    <cs:fontRef idx="minor">
      <a:sysClr val="windowText" lastClr="000000"/>
    </cs:fontRef>
    <cs:spPr>
      <a:ln>
        <a:round/>
      </a:ln>
    </cs:spPr>
  </cs:gridlineMinor>
  <cs:hiLoLine>
    <cs:lnRef idx="1">
      <a:sysClr val="windowText" lastClr="000000"/>
    </cs:lnRef>
    <cs:fillRef idx="0"/>
    <cs:effectRef idx="0"/>
    <cs:fontRef idx="minor">
      <a:sysClr val="windowText" lastClr="000000"/>
    </cs:fontRef>
    <cs:spPr>
      <a:ln>
        <a:round/>
      </a:ln>
    </cs:spPr>
  </cs:hiLoLine>
  <cs:leaderLine>
    <cs:lnRef idx="1">
      <a:sysClr val="windowText" lastClr="000000"/>
    </cs:lnRef>
    <cs:fillRef idx="0"/>
    <cs:effectRef idx="0"/>
    <cs:fontRef idx="minor">
      <a:sysClr val="windowText" lastClr="000000"/>
    </cs:fontRef>
    <cs:spPr>
      <a:ln>
        <a:round/>
      </a:ln>
    </cs:spPr>
  </cs:leaderLine>
  <cs:legend>
    <cs:lnRef idx="0"/>
    <cs:fillRef idx="0"/>
    <cs:effectRef idx="0"/>
    <cs:fontRef idx="minor">
      <a:sysClr val="windowText" lastClr="000000"/>
    </cs:fontRef>
    <cs:defRPr sz="1000" kern="1200"/>
  </cs:legend>
  <cs:plotArea mods="allowNoFillOverride allowNoLineOverride">
    <cs:lnRef idx="0"/>
    <cs:fillRef idx="1">
      <a:sysClr val="window" lastClr="FFFFFF"/>
    </cs:fillRef>
    <cs:effectRef idx="0"/>
    <cs:fontRef idx="minor">
      <a:sysClr val="windowText" lastClr="000000"/>
    </cs:fontRef>
  </cs:plotArea>
  <cs:plotArea3D>
    <cs:lnRef idx="0"/>
    <cs:fillRef idx="0"/>
    <cs:effectRef idx="0"/>
    <cs:fontRef idx="minor">
      <a:sysClr val="windowText" lastClr="000000"/>
    </cs:fontRef>
  </cs:plotArea3D>
  <cs:seriesAxis>
    <cs:lnRef idx="1">
      <a:sysClr val="windowText" lastClr="000000">
        <a:tint val="75000"/>
      </a:sysClr>
    </cs:lnRef>
    <cs:fillRef idx="0"/>
    <cs:effectRef idx="0"/>
    <cs:fontRef idx="minor">
      <a:sysClr val="windowText" lastClr="000000"/>
    </cs:fontRef>
    <cs:spPr>
      <a:ln>
        <a:round/>
      </a:ln>
    </cs:spPr>
    <cs:defRPr sz="1000" kern="1200"/>
  </cs:seriesAxis>
  <cs:seriesLine>
    <cs:lnRef idx="1">
      <a:sysClr val="windowText" lastClr="000000"/>
    </cs:lnRef>
    <cs:fillRef idx="0"/>
    <cs:effectRef idx="0"/>
    <cs:fontRef idx="minor">
      <a:sysClr val="windowText" lastClr="000000"/>
    </cs:fontRef>
    <cs:spPr>
      <a:ln>
        <a:round/>
      </a:ln>
    </cs:spPr>
  </cs:seriesLine>
  <cs:title>
    <cs:lnRef idx="0"/>
    <cs:fillRef idx="0"/>
    <cs:effectRef idx="0"/>
    <cs:fontRef idx="minor">
      <a:sysClr val="windowText" lastClr="000000"/>
    </cs:fontRef>
    <cs:defRPr sz="1800" b="1" kern="1200"/>
  </cs:title>
  <cs:trendline>
    <cs:lnRef idx="1">
      <a:sysClr val="windowText" lastClr="000000"/>
    </cs:lnRef>
    <cs:fillRef idx="0"/>
    <cs:effectRef idx="0"/>
    <cs:fontRef idx="minor">
      <a:sysClr val="windowText" lastClr="000000"/>
    </cs:fontRef>
    <cs:spPr>
      <a:ln cap="rnd">
        <a:round/>
      </a:ln>
    </cs:spPr>
  </cs:trendline>
  <cs:trendlineLabel>
    <cs:lnRef idx="0"/>
    <cs:fillRef idx="0"/>
    <cs:effectRef idx="0"/>
    <cs:fontRef idx="minor">
      <a:sysClr val="windowText" lastClr="000000"/>
    </cs:fontRef>
    <cs:defRPr sz="1000" kern="1200"/>
  </cs:trendlineLabel>
  <cs:upBar>
    <cs:lnRef idx="1">
      <a:sysClr val="windowText" lastClr="000000"/>
    </cs:lnRef>
    <cs:fillRef idx="1" mods="ignoreCSTransforms">
      <cs:styleClr val="0">
        <a:tint val="25000"/>
      </cs:styleClr>
    </cs:fillRef>
    <cs:effectRef idx="0"/>
    <cs:fontRef idx="minor">
      <a:sysClr val="windowText" lastClr="000000"/>
    </cs:fontRef>
    <cs:spPr>
      <a:ln>
        <a:round/>
      </a:ln>
    </cs:spPr>
  </cs:upBar>
  <cs:valueAxis>
    <cs:lnRef idx="1">
      <a:sysClr val="windowText" lastClr="000000">
        <a:tint val="75000"/>
      </a:sysClr>
    </cs:lnRef>
    <cs:fillRef idx="0"/>
    <cs:effectRef idx="0"/>
    <cs:fontRef idx="minor">
      <a:sysClr val="windowText" lastClr="000000"/>
    </cs:fontRef>
    <cs:spPr>
      <a:ln>
        <a:round/>
      </a:ln>
    </cs:spPr>
    <cs:defRPr sz="1000" kern="1200"/>
  </cs:valueAxis>
  <cs:wall>
    <cs:lnRef idx="0"/>
    <cs:fillRef idx="0"/>
    <cs:effectRef idx="0"/>
    <cs:fontRef idx="minor">
      <a:sysClr val="windowText" lastClr="000000"/>
    </cs:fontRef>
  </cs:wall>
</cs:chartStyle>
</file>

<file path=word/charts/style34.xml><?xml version="1.0" encoding="utf-8"?>
<cs:chartStyle xmlns:cs="http://schemas.microsoft.com/office/drawing/2012/chartStyle" xmlns:a="http://schemas.openxmlformats.org/drawingml/2006/main" id="107">
  <cs:axisTitle>
    <cs:lnRef idx="0"/>
    <cs:fillRef idx="0"/>
    <cs:effectRef idx="0"/>
    <cs:fontRef idx="minor">
      <a:sysClr val="windowText" lastClr="000000"/>
    </cs:fontRef>
    <cs:defRPr sz="1000" b="1" kern="1200"/>
  </cs:axisTitle>
  <cs:categoryAxis>
    <cs:lnRef idx="1">
      <a:sysClr val="windowText" lastClr="000000">
        <a:tint val="75000"/>
      </a:sysClr>
    </cs:lnRef>
    <cs:fillRef idx="0"/>
    <cs:effectRef idx="0"/>
    <cs:fontRef idx="minor">
      <a:sysClr val="windowText" lastClr="000000"/>
    </cs:fontRef>
    <cs:spPr>
      <a:ln>
        <a:round/>
      </a:ln>
    </cs:spPr>
    <cs:defRPr sz="1000" kern="1200"/>
  </cs:categoryAxis>
  <cs:chartArea mods="allowNoFillOverride allowNoLineOverride">
    <cs:lnRef idx="1">
      <a:sysClr val="windowText" lastClr="000000">
        <a:tint val="75000"/>
      </a:sysClr>
    </cs:lnRef>
    <cs:fillRef idx="1">
      <a:sysClr val="window" lastClr="FFFFFF"/>
    </cs:fillRef>
    <cs:effectRef idx="0"/>
    <cs:fontRef idx="minor">
      <a:sysClr val="windowText" lastClr="000000"/>
    </cs:fontRef>
    <cs:spPr>
      <a:ln>
        <a:round/>
      </a:ln>
    </cs:spPr>
    <cs:defRPr sz="1000" kern="1200"/>
  </cs:chartArea>
  <cs:dataLabel>
    <cs:lnRef idx="0"/>
    <cs:fillRef idx="0"/>
    <cs:effectRef idx="0"/>
    <cs:fontRef idx="minor">
      <a:sysClr val="windowText" lastClr="000000"/>
    </cs:fontRef>
    <cs:defRPr sz="1000" kern="1200"/>
  </cs:dataLabel>
  <cs:dataLabelCallout>
    <cs:lnRef idx="0"/>
    <cs:fillRef idx="0"/>
    <cs:effectRef idx="0"/>
    <cs:fontRef idx="minor">
      <a:sysClr val="windowText" lastClr="000000"/>
    </cs:fontRef>
    <cs:spPr>
      <a:solidFill>
        <a:sysClr val="window" lastClr="FFFFFF"/>
      </a:solidFill>
      <a:ln>
        <a:solidFill>
          <a:sysClr val="windowText" lastClr="000000">
            <a:lumMod val="65000"/>
            <a:lumOff val="35000"/>
          </a:sysClr>
        </a:solidFill>
      </a:ln>
    </cs:spPr>
    <cs:defRPr sz="1000" kern="1200"/>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1">
      <cs:styleClr val="auto"/>
    </cs:lnRef>
    <cs:lineWidthScale>3</cs:lineWidthScale>
    <cs:fillRef idx="0"/>
    <cs:effectRef idx="0"/>
    <cs:fontRef idx="minor">
      <a:sysClr val="windowText" lastClr="000000"/>
    </cs:fontRef>
    <cs:spPr>
      <a:ln cap="rnd">
        <a:round/>
      </a:ln>
    </cs:spPr>
  </cs:dataPointLine>
  <cs:dataPointMarker>
    <cs:lnRef idx="1">
      <cs:styleClr val="auto"/>
    </cs:lnRef>
    <cs:fillRef idx="1">
      <cs:styleClr val="auto"/>
    </cs:fillRef>
    <cs:effectRef idx="0"/>
    <cs:fontRef idx="minor">
      <a:sysClr val="windowText" lastClr="000000"/>
    </cs:fontRef>
    <cs:spPr>
      <a:ln>
        <a:round/>
      </a:ln>
    </cs:spPr>
  </cs:dataPointMarker>
  <cs:dataPointMarkerLayout/>
  <cs:dataPointWireframe>
    <cs:lnRef idx="1">
      <cs:styleClr val="auto"/>
    </cs:lnRef>
    <cs:fillRef idx="0"/>
    <cs:effectRef idx="0"/>
    <cs:fontRef idx="minor">
      <a:sysClr val="windowText" lastClr="000000"/>
    </cs:fontRef>
    <cs:spPr>
      <a:ln>
        <a:round/>
      </a:ln>
    </cs:spPr>
  </cs:dataPointWireframe>
  <cs:dataTable>
    <cs:lnRef idx="1">
      <a:sysClr val="windowText" lastClr="000000">
        <a:tint val="75000"/>
      </a:sysClr>
    </cs:lnRef>
    <cs:fillRef idx="0"/>
    <cs:effectRef idx="0"/>
    <cs:fontRef idx="minor">
      <a:sysClr val="windowText" lastClr="000000"/>
    </cs:fontRef>
    <cs:spPr>
      <a:ln>
        <a:round/>
      </a:ln>
    </cs:spPr>
    <cs:defRPr sz="1000" kern="1200"/>
  </cs:dataTable>
  <cs:downBar>
    <cs:lnRef idx="1">
      <a:sysClr val="windowText" lastClr="000000"/>
    </cs:lnRef>
    <cs:fillRef idx="1" mods="ignoreCSTransforms">
      <cs:styleClr val="0">
        <a:shade val="25000"/>
      </cs:styleClr>
    </cs:fillRef>
    <cs:effectRef idx="0"/>
    <cs:fontRef idx="minor">
      <a:sysClr val="windowText" lastClr="000000"/>
    </cs:fontRef>
    <cs:spPr>
      <a:ln>
        <a:round/>
      </a:ln>
    </cs:spPr>
  </cs:downBar>
  <cs:dropLine>
    <cs:lnRef idx="1">
      <a:sysClr val="windowText" lastClr="000000"/>
    </cs:lnRef>
    <cs:fillRef idx="0"/>
    <cs:effectRef idx="0"/>
    <cs:fontRef idx="minor">
      <a:sysClr val="windowText" lastClr="000000"/>
    </cs:fontRef>
    <cs:spPr>
      <a:ln>
        <a:round/>
      </a:ln>
    </cs:spPr>
  </cs:dropLine>
  <cs:errorBar>
    <cs:lnRef idx="1">
      <a:sysClr val="windowText" lastClr="000000"/>
    </cs:lnRef>
    <cs:fillRef idx="1">
      <a:sysClr val="windowText" lastClr="000000"/>
    </cs:fillRef>
    <cs:effectRef idx="0"/>
    <cs:fontRef idx="minor">
      <a:sysClr val="windowText" lastClr="000000"/>
    </cs:fontRef>
    <cs:spPr>
      <a:ln>
        <a:round/>
      </a:ln>
    </cs:spPr>
  </cs:errorBar>
  <cs:floor>
    <cs:lnRef idx="1">
      <a:sysClr val="windowText" lastClr="000000">
        <a:tint val="75000"/>
      </a:sysClr>
    </cs:lnRef>
    <cs:fillRef idx="0"/>
    <cs:effectRef idx="0"/>
    <cs:fontRef idx="minor">
      <a:sysClr val="windowText" lastClr="000000"/>
    </cs:fontRef>
    <cs:spPr>
      <a:ln>
        <a:round/>
      </a:ln>
    </cs:spPr>
  </cs:floor>
  <cs:gridlineMajor>
    <cs:lnRef idx="1">
      <a:sysClr val="windowText" lastClr="000000">
        <a:tint val="75000"/>
      </a:sysClr>
    </cs:lnRef>
    <cs:fillRef idx="0"/>
    <cs:effectRef idx="0"/>
    <cs:fontRef idx="minor">
      <a:sysClr val="windowText" lastClr="000000"/>
    </cs:fontRef>
    <cs:spPr>
      <a:ln>
        <a:round/>
      </a:ln>
    </cs:spPr>
  </cs:gridlineMajor>
  <cs:gridlineMinor>
    <cs:lnRef idx="1">
      <a:sysClr val="windowText" lastClr="000000">
        <a:tint val="50000"/>
      </a:sysClr>
    </cs:lnRef>
    <cs:fillRef idx="0"/>
    <cs:effectRef idx="0"/>
    <cs:fontRef idx="minor">
      <a:sysClr val="windowText" lastClr="000000"/>
    </cs:fontRef>
    <cs:spPr>
      <a:ln>
        <a:round/>
      </a:ln>
    </cs:spPr>
  </cs:gridlineMinor>
  <cs:hiLoLine>
    <cs:lnRef idx="1">
      <a:sysClr val="windowText" lastClr="000000"/>
    </cs:lnRef>
    <cs:fillRef idx="0"/>
    <cs:effectRef idx="0"/>
    <cs:fontRef idx="minor">
      <a:sysClr val="windowText" lastClr="000000"/>
    </cs:fontRef>
    <cs:spPr>
      <a:ln>
        <a:round/>
      </a:ln>
    </cs:spPr>
  </cs:hiLoLine>
  <cs:leaderLine>
    <cs:lnRef idx="1">
      <a:sysClr val="windowText" lastClr="000000"/>
    </cs:lnRef>
    <cs:fillRef idx="0"/>
    <cs:effectRef idx="0"/>
    <cs:fontRef idx="minor">
      <a:sysClr val="windowText" lastClr="000000"/>
    </cs:fontRef>
    <cs:spPr>
      <a:ln>
        <a:round/>
      </a:ln>
    </cs:spPr>
  </cs:leaderLine>
  <cs:legend>
    <cs:lnRef idx="0"/>
    <cs:fillRef idx="0"/>
    <cs:effectRef idx="0"/>
    <cs:fontRef idx="minor">
      <a:sysClr val="windowText" lastClr="000000"/>
    </cs:fontRef>
    <cs:defRPr sz="1000" kern="1200"/>
  </cs:legend>
  <cs:plotArea mods="allowNoFillOverride allowNoLineOverride">
    <cs:lnRef idx="0"/>
    <cs:fillRef idx="1">
      <a:sysClr val="window" lastClr="FFFFFF"/>
    </cs:fillRef>
    <cs:effectRef idx="0"/>
    <cs:fontRef idx="minor">
      <a:sysClr val="windowText" lastClr="000000"/>
    </cs:fontRef>
  </cs:plotArea>
  <cs:plotArea3D>
    <cs:lnRef idx="0"/>
    <cs:fillRef idx="0"/>
    <cs:effectRef idx="0"/>
    <cs:fontRef idx="minor">
      <a:sysClr val="windowText" lastClr="000000"/>
    </cs:fontRef>
  </cs:plotArea3D>
  <cs:seriesAxis>
    <cs:lnRef idx="1">
      <a:sysClr val="windowText" lastClr="000000">
        <a:tint val="75000"/>
      </a:sysClr>
    </cs:lnRef>
    <cs:fillRef idx="0"/>
    <cs:effectRef idx="0"/>
    <cs:fontRef idx="minor">
      <a:sysClr val="windowText" lastClr="000000"/>
    </cs:fontRef>
    <cs:spPr>
      <a:ln>
        <a:round/>
      </a:ln>
    </cs:spPr>
    <cs:defRPr sz="1000" kern="1200"/>
  </cs:seriesAxis>
  <cs:seriesLine>
    <cs:lnRef idx="1">
      <a:sysClr val="windowText" lastClr="000000"/>
    </cs:lnRef>
    <cs:fillRef idx="0"/>
    <cs:effectRef idx="0"/>
    <cs:fontRef idx="minor">
      <a:sysClr val="windowText" lastClr="000000"/>
    </cs:fontRef>
    <cs:spPr>
      <a:ln>
        <a:round/>
      </a:ln>
    </cs:spPr>
  </cs:seriesLine>
  <cs:title>
    <cs:lnRef idx="0"/>
    <cs:fillRef idx="0"/>
    <cs:effectRef idx="0"/>
    <cs:fontRef idx="minor">
      <a:sysClr val="windowText" lastClr="000000"/>
    </cs:fontRef>
    <cs:defRPr sz="1800" b="1" kern="1200"/>
  </cs:title>
  <cs:trendline>
    <cs:lnRef idx="1">
      <a:sysClr val="windowText" lastClr="000000"/>
    </cs:lnRef>
    <cs:fillRef idx="0"/>
    <cs:effectRef idx="0"/>
    <cs:fontRef idx="minor">
      <a:sysClr val="windowText" lastClr="000000"/>
    </cs:fontRef>
    <cs:spPr>
      <a:ln cap="rnd">
        <a:round/>
      </a:ln>
    </cs:spPr>
  </cs:trendline>
  <cs:trendlineLabel>
    <cs:lnRef idx="0"/>
    <cs:fillRef idx="0"/>
    <cs:effectRef idx="0"/>
    <cs:fontRef idx="minor">
      <a:sysClr val="windowText" lastClr="000000"/>
    </cs:fontRef>
    <cs:defRPr sz="1000" kern="1200"/>
  </cs:trendlineLabel>
  <cs:upBar>
    <cs:lnRef idx="1">
      <a:sysClr val="windowText" lastClr="000000"/>
    </cs:lnRef>
    <cs:fillRef idx="1" mods="ignoreCSTransforms">
      <cs:styleClr val="0">
        <a:tint val="25000"/>
      </cs:styleClr>
    </cs:fillRef>
    <cs:effectRef idx="0"/>
    <cs:fontRef idx="minor">
      <a:sysClr val="windowText" lastClr="000000"/>
    </cs:fontRef>
    <cs:spPr>
      <a:ln>
        <a:round/>
      </a:ln>
    </cs:spPr>
  </cs:upBar>
  <cs:valueAxis>
    <cs:lnRef idx="1">
      <a:sysClr val="windowText" lastClr="000000">
        <a:tint val="75000"/>
      </a:sysClr>
    </cs:lnRef>
    <cs:fillRef idx="0"/>
    <cs:effectRef idx="0"/>
    <cs:fontRef idx="minor">
      <a:sysClr val="windowText" lastClr="000000"/>
    </cs:fontRef>
    <cs:spPr>
      <a:ln>
        <a:round/>
      </a:ln>
    </cs:spPr>
    <cs:defRPr sz="1000" kern="1200"/>
  </cs:valueAxis>
  <cs:wall>
    <cs:lnRef idx="0"/>
    <cs:fillRef idx="0"/>
    <cs:effectRef idx="0"/>
    <cs:fontRef idx="minor">
      <a:sysClr val="windowText" lastClr="000000"/>
    </cs:fontRef>
  </cs:wall>
</cs:chartStyle>
</file>

<file path=word/charts/style35.xml><?xml version="1.0" encoding="utf-8"?>
<cs:chartStyle xmlns:cs="http://schemas.microsoft.com/office/drawing/2012/chartStyle" xmlns:a="http://schemas.openxmlformats.org/drawingml/2006/main" id="107">
  <cs:axisTitle>
    <cs:lnRef idx="0"/>
    <cs:fillRef idx="0"/>
    <cs:effectRef idx="0"/>
    <cs:fontRef idx="minor">
      <a:sysClr val="windowText" lastClr="000000"/>
    </cs:fontRef>
    <cs:defRPr sz="1000" b="1" kern="1200"/>
  </cs:axisTitle>
  <cs:categoryAxis>
    <cs:lnRef idx="1">
      <a:sysClr val="windowText" lastClr="000000">
        <a:tint val="75000"/>
      </a:sysClr>
    </cs:lnRef>
    <cs:fillRef idx="0"/>
    <cs:effectRef idx="0"/>
    <cs:fontRef idx="minor">
      <a:sysClr val="windowText" lastClr="000000"/>
    </cs:fontRef>
    <cs:spPr>
      <a:ln>
        <a:round/>
      </a:ln>
    </cs:spPr>
    <cs:defRPr sz="1000" kern="1200"/>
  </cs:categoryAxis>
  <cs:chartArea mods="allowNoFillOverride allowNoLineOverride">
    <cs:lnRef idx="1">
      <a:sysClr val="windowText" lastClr="000000">
        <a:tint val="75000"/>
      </a:sysClr>
    </cs:lnRef>
    <cs:fillRef idx="1">
      <a:sysClr val="window" lastClr="FFFFFF"/>
    </cs:fillRef>
    <cs:effectRef idx="0"/>
    <cs:fontRef idx="minor">
      <a:sysClr val="windowText" lastClr="000000"/>
    </cs:fontRef>
    <cs:spPr>
      <a:ln>
        <a:round/>
      </a:ln>
    </cs:spPr>
    <cs:defRPr sz="1000" kern="1200"/>
  </cs:chartArea>
  <cs:dataLabel>
    <cs:lnRef idx="0"/>
    <cs:fillRef idx="0"/>
    <cs:effectRef idx="0"/>
    <cs:fontRef idx="minor">
      <a:sysClr val="windowText" lastClr="000000"/>
    </cs:fontRef>
    <cs:defRPr sz="1000" kern="1200"/>
  </cs:dataLabel>
  <cs:dataLabelCallout>
    <cs:lnRef idx="0"/>
    <cs:fillRef idx="0"/>
    <cs:effectRef idx="0"/>
    <cs:fontRef idx="minor">
      <a:sysClr val="windowText" lastClr="000000"/>
    </cs:fontRef>
    <cs:spPr>
      <a:solidFill>
        <a:sysClr val="window" lastClr="FFFFFF"/>
      </a:solidFill>
      <a:ln>
        <a:solidFill>
          <a:sysClr val="windowText" lastClr="000000">
            <a:lumMod val="65000"/>
            <a:lumOff val="35000"/>
          </a:sysClr>
        </a:solidFill>
      </a:ln>
    </cs:spPr>
    <cs:defRPr sz="1000" kern="1200"/>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1">
      <cs:styleClr val="auto"/>
    </cs:lnRef>
    <cs:lineWidthScale>3</cs:lineWidthScale>
    <cs:fillRef idx="0"/>
    <cs:effectRef idx="0"/>
    <cs:fontRef idx="minor">
      <a:sysClr val="windowText" lastClr="000000"/>
    </cs:fontRef>
    <cs:spPr>
      <a:ln cap="rnd">
        <a:round/>
      </a:ln>
    </cs:spPr>
  </cs:dataPointLine>
  <cs:dataPointMarker>
    <cs:lnRef idx="1">
      <cs:styleClr val="auto"/>
    </cs:lnRef>
    <cs:fillRef idx="1">
      <cs:styleClr val="auto"/>
    </cs:fillRef>
    <cs:effectRef idx="0"/>
    <cs:fontRef idx="minor">
      <a:sysClr val="windowText" lastClr="000000"/>
    </cs:fontRef>
    <cs:spPr>
      <a:ln>
        <a:round/>
      </a:ln>
    </cs:spPr>
  </cs:dataPointMarker>
  <cs:dataPointMarkerLayout/>
  <cs:dataPointWireframe>
    <cs:lnRef idx="1">
      <cs:styleClr val="auto"/>
    </cs:lnRef>
    <cs:fillRef idx="0"/>
    <cs:effectRef idx="0"/>
    <cs:fontRef idx="minor">
      <a:sysClr val="windowText" lastClr="000000"/>
    </cs:fontRef>
    <cs:spPr>
      <a:ln>
        <a:round/>
      </a:ln>
    </cs:spPr>
  </cs:dataPointWireframe>
  <cs:dataTable>
    <cs:lnRef idx="1">
      <a:sysClr val="windowText" lastClr="000000">
        <a:tint val="75000"/>
      </a:sysClr>
    </cs:lnRef>
    <cs:fillRef idx="0"/>
    <cs:effectRef idx="0"/>
    <cs:fontRef idx="minor">
      <a:sysClr val="windowText" lastClr="000000"/>
    </cs:fontRef>
    <cs:spPr>
      <a:ln>
        <a:round/>
      </a:ln>
    </cs:spPr>
    <cs:defRPr sz="1000" kern="1200"/>
  </cs:dataTable>
  <cs:downBar>
    <cs:lnRef idx="1">
      <a:sysClr val="windowText" lastClr="000000"/>
    </cs:lnRef>
    <cs:fillRef idx="1" mods="ignoreCSTransforms">
      <cs:styleClr val="0">
        <a:shade val="25000"/>
      </cs:styleClr>
    </cs:fillRef>
    <cs:effectRef idx="0"/>
    <cs:fontRef idx="minor">
      <a:sysClr val="windowText" lastClr="000000"/>
    </cs:fontRef>
    <cs:spPr>
      <a:ln>
        <a:round/>
      </a:ln>
    </cs:spPr>
  </cs:downBar>
  <cs:dropLine>
    <cs:lnRef idx="1">
      <a:sysClr val="windowText" lastClr="000000"/>
    </cs:lnRef>
    <cs:fillRef idx="0"/>
    <cs:effectRef idx="0"/>
    <cs:fontRef idx="minor">
      <a:sysClr val="windowText" lastClr="000000"/>
    </cs:fontRef>
    <cs:spPr>
      <a:ln>
        <a:round/>
      </a:ln>
    </cs:spPr>
  </cs:dropLine>
  <cs:errorBar>
    <cs:lnRef idx="1">
      <a:sysClr val="windowText" lastClr="000000"/>
    </cs:lnRef>
    <cs:fillRef idx="1">
      <a:sysClr val="windowText" lastClr="000000"/>
    </cs:fillRef>
    <cs:effectRef idx="0"/>
    <cs:fontRef idx="minor">
      <a:sysClr val="windowText" lastClr="000000"/>
    </cs:fontRef>
    <cs:spPr>
      <a:ln>
        <a:round/>
      </a:ln>
    </cs:spPr>
  </cs:errorBar>
  <cs:floor>
    <cs:lnRef idx="1">
      <a:sysClr val="windowText" lastClr="000000">
        <a:tint val="75000"/>
      </a:sysClr>
    </cs:lnRef>
    <cs:fillRef idx="0"/>
    <cs:effectRef idx="0"/>
    <cs:fontRef idx="minor">
      <a:sysClr val="windowText" lastClr="000000"/>
    </cs:fontRef>
    <cs:spPr>
      <a:ln>
        <a:round/>
      </a:ln>
    </cs:spPr>
  </cs:floor>
  <cs:gridlineMajor>
    <cs:lnRef idx="1">
      <a:sysClr val="windowText" lastClr="000000">
        <a:tint val="75000"/>
      </a:sysClr>
    </cs:lnRef>
    <cs:fillRef idx="0"/>
    <cs:effectRef idx="0"/>
    <cs:fontRef idx="minor">
      <a:sysClr val="windowText" lastClr="000000"/>
    </cs:fontRef>
    <cs:spPr>
      <a:ln>
        <a:round/>
      </a:ln>
    </cs:spPr>
  </cs:gridlineMajor>
  <cs:gridlineMinor>
    <cs:lnRef idx="1">
      <a:sysClr val="windowText" lastClr="000000">
        <a:tint val="50000"/>
      </a:sysClr>
    </cs:lnRef>
    <cs:fillRef idx="0"/>
    <cs:effectRef idx="0"/>
    <cs:fontRef idx="minor">
      <a:sysClr val="windowText" lastClr="000000"/>
    </cs:fontRef>
    <cs:spPr>
      <a:ln>
        <a:round/>
      </a:ln>
    </cs:spPr>
  </cs:gridlineMinor>
  <cs:hiLoLine>
    <cs:lnRef idx="1">
      <a:sysClr val="windowText" lastClr="000000"/>
    </cs:lnRef>
    <cs:fillRef idx="0"/>
    <cs:effectRef idx="0"/>
    <cs:fontRef idx="minor">
      <a:sysClr val="windowText" lastClr="000000"/>
    </cs:fontRef>
    <cs:spPr>
      <a:ln>
        <a:round/>
      </a:ln>
    </cs:spPr>
  </cs:hiLoLine>
  <cs:leaderLine>
    <cs:lnRef idx="1">
      <a:sysClr val="windowText" lastClr="000000"/>
    </cs:lnRef>
    <cs:fillRef idx="0"/>
    <cs:effectRef idx="0"/>
    <cs:fontRef idx="minor">
      <a:sysClr val="windowText" lastClr="000000"/>
    </cs:fontRef>
    <cs:spPr>
      <a:ln>
        <a:round/>
      </a:ln>
    </cs:spPr>
  </cs:leaderLine>
  <cs:legend>
    <cs:lnRef idx="0"/>
    <cs:fillRef idx="0"/>
    <cs:effectRef idx="0"/>
    <cs:fontRef idx="minor">
      <a:sysClr val="windowText" lastClr="000000"/>
    </cs:fontRef>
    <cs:defRPr sz="1000" kern="1200"/>
  </cs:legend>
  <cs:plotArea mods="allowNoFillOverride allowNoLineOverride">
    <cs:lnRef idx="0"/>
    <cs:fillRef idx="1">
      <a:sysClr val="window" lastClr="FFFFFF"/>
    </cs:fillRef>
    <cs:effectRef idx="0"/>
    <cs:fontRef idx="minor">
      <a:sysClr val="windowText" lastClr="000000"/>
    </cs:fontRef>
  </cs:plotArea>
  <cs:plotArea3D>
    <cs:lnRef idx="0"/>
    <cs:fillRef idx="0"/>
    <cs:effectRef idx="0"/>
    <cs:fontRef idx="minor">
      <a:sysClr val="windowText" lastClr="000000"/>
    </cs:fontRef>
  </cs:plotArea3D>
  <cs:seriesAxis>
    <cs:lnRef idx="1">
      <a:sysClr val="windowText" lastClr="000000">
        <a:tint val="75000"/>
      </a:sysClr>
    </cs:lnRef>
    <cs:fillRef idx="0"/>
    <cs:effectRef idx="0"/>
    <cs:fontRef idx="minor">
      <a:sysClr val="windowText" lastClr="000000"/>
    </cs:fontRef>
    <cs:spPr>
      <a:ln>
        <a:round/>
      </a:ln>
    </cs:spPr>
    <cs:defRPr sz="1000" kern="1200"/>
  </cs:seriesAxis>
  <cs:seriesLine>
    <cs:lnRef idx="1">
      <a:sysClr val="windowText" lastClr="000000"/>
    </cs:lnRef>
    <cs:fillRef idx="0"/>
    <cs:effectRef idx="0"/>
    <cs:fontRef idx="minor">
      <a:sysClr val="windowText" lastClr="000000"/>
    </cs:fontRef>
    <cs:spPr>
      <a:ln>
        <a:round/>
      </a:ln>
    </cs:spPr>
  </cs:seriesLine>
  <cs:title>
    <cs:lnRef idx="0"/>
    <cs:fillRef idx="0"/>
    <cs:effectRef idx="0"/>
    <cs:fontRef idx="minor">
      <a:sysClr val="windowText" lastClr="000000"/>
    </cs:fontRef>
    <cs:defRPr sz="1800" b="1" kern="1200"/>
  </cs:title>
  <cs:trendline>
    <cs:lnRef idx="1">
      <a:sysClr val="windowText" lastClr="000000"/>
    </cs:lnRef>
    <cs:fillRef idx="0"/>
    <cs:effectRef idx="0"/>
    <cs:fontRef idx="minor">
      <a:sysClr val="windowText" lastClr="000000"/>
    </cs:fontRef>
    <cs:spPr>
      <a:ln cap="rnd">
        <a:round/>
      </a:ln>
    </cs:spPr>
  </cs:trendline>
  <cs:trendlineLabel>
    <cs:lnRef idx="0"/>
    <cs:fillRef idx="0"/>
    <cs:effectRef idx="0"/>
    <cs:fontRef idx="minor">
      <a:sysClr val="windowText" lastClr="000000"/>
    </cs:fontRef>
    <cs:defRPr sz="1000" kern="1200"/>
  </cs:trendlineLabel>
  <cs:upBar>
    <cs:lnRef idx="1">
      <a:sysClr val="windowText" lastClr="000000"/>
    </cs:lnRef>
    <cs:fillRef idx="1" mods="ignoreCSTransforms">
      <cs:styleClr val="0">
        <a:tint val="25000"/>
      </cs:styleClr>
    </cs:fillRef>
    <cs:effectRef idx="0"/>
    <cs:fontRef idx="minor">
      <a:sysClr val="windowText" lastClr="000000"/>
    </cs:fontRef>
    <cs:spPr>
      <a:ln>
        <a:round/>
      </a:ln>
    </cs:spPr>
  </cs:upBar>
  <cs:valueAxis>
    <cs:lnRef idx="1">
      <a:sysClr val="windowText" lastClr="000000">
        <a:tint val="75000"/>
      </a:sysClr>
    </cs:lnRef>
    <cs:fillRef idx="0"/>
    <cs:effectRef idx="0"/>
    <cs:fontRef idx="minor">
      <a:sysClr val="windowText" lastClr="000000"/>
    </cs:fontRef>
    <cs:spPr>
      <a:ln>
        <a:round/>
      </a:ln>
    </cs:spPr>
    <cs:defRPr sz="1000" kern="1200"/>
  </cs:valueAxis>
  <cs:wall>
    <cs:lnRef idx="0"/>
    <cs:fillRef idx="0"/>
    <cs:effectRef idx="0"/>
    <cs:fontRef idx="minor">
      <a:sysClr val="windowText" lastClr="000000"/>
    </cs:fontRef>
  </cs:wall>
</cs:chartStyle>
</file>

<file path=word/charts/style36.xml><?xml version="1.0" encoding="utf-8"?>
<cs:chartStyle xmlns:cs="http://schemas.microsoft.com/office/drawing/2012/chartStyle" xmlns:a="http://schemas.openxmlformats.org/drawingml/2006/main" id="107">
  <cs:axisTitle>
    <cs:lnRef idx="0"/>
    <cs:fillRef idx="0"/>
    <cs:effectRef idx="0"/>
    <cs:fontRef idx="minor">
      <a:sysClr val="windowText" lastClr="000000"/>
    </cs:fontRef>
    <cs:defRPr sz="1000" b="1" kern="1200"/>
  </cs:axisTitle>
  <cs:categoryAxis>
    <cs:lnRef idx="1">
      <a:sysClr val="windowText" lastClr="000000">
        <a:tint val="75000"/>
      </a:sysClr>
    </cs:lnRef>
    <cs:fillRef idx="0"/>
    <cs:effectRef idx="0"/>
    <cs:fontRef idx="minor">
      <a:sysClr val="windowText" lastClr="000000"/>
    </cs:fontRef>
    <cs:spPr>
      <a:ln>
        <a:round/>
      </a:ln>
    </cs:spPr>
    <cs:defRPr sz="1000" kern="1200"/>
  </cs:categoryAxis>
  <cs:chartArea mods="allowNoFillOverride allowNoLineOverride">
    <cs:lnRef idx="1">
      <a:sysClr val="windowText" lastClr="000000">
        <a:tint val="75000"/>
      </a:sysClr>
    </cs:lnRef>
    <cs:fillRef idx="1">
      <a:sysClr val="window" lastClr="FFFFFF"/>
    </cs:fillRef>
    <cs:effectRef idx="0"/>
    <cs:fontRef idx="minor">
      <a:sysClr val="windowText" lastClr="000000"/>
    </cs:fontRef>
    <cs:spPr>
      <a:ln>
        <a:round/>
      </a:ln>
    </cs:spPr>
    <cs:defRPr sz="1000" kern="1200"/>
  </cs:chartArea>
  <cs:dataLabel>
    <cs:lnRef idx="0"/>
    <cs:fillRef idx="0"/>
    <cs:effectRef idx="0"/>
    <cs:fontRef idx="minor">
      <a:sysClr val="windowText" lastClr="000000"/>
    </cs:fontRef>
    <cs:defRPr sz="1000" kern="1200"/>
  </cs:dataLabel>
  <cs:dataLabelCallout>
    <cs:lnRef idx="0"/>
    <cs:fillRef idx="0"/>
    <cs:effectRef idx="0"/>
    <cs:fontRef idx="minor">
      <a:sysClr val="windowText" lastClr="000000"/>
    </cs:fontRef>
    <cs:spPr>
      <a:solidFill>
        <a:sysClr val="window" lastClr="FFFFFF"/>
      </a:solidFill>
      <a:ln>
        <a:solidFill>
          <a:sysClr val="windowText" lastClr="000000">
            <a:lumMod val="65000"/>
            <a:lumOff val="35000"/>
          </a:sysClr>
        </a:solidFill>
      </a:ln>
    </cs:spPr>
    <cs:defRPr sz="1000" kern="1200"/>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1">
      <cs:styleClr val="auto"/>
    </cs:lnRef>
    <cs:lineWidthScale>3</cs:lineWidthScale>
    <cs:fillRef idx="0"/>
    <cs:effectRef idx="0"/>
    <cs:fontRef idx="minor">
      <a:sysClr val="windowText" lastClr="000000"/>
    </cs:fontRef>
    <cs:spPr>
      <a:ln cap="rnd">
        <a:round/>
      </a:ln>
    </cs:spPr>
  </cs:dataPointLine>
  <cs:dataPointMarker>
    <cs:lnRef idx="1">
      <cs:styleClr val="auto"/>
    </cs:lnRef>
    <cs:fillRef idx="1">
      <cs:styleClr val="auto"/>
    </cs:fillRef>
    <cs:effectRef idx="0"/>
    <cs:fontRef idx="minor">
      <a:sysClr val="windowText" lastClr="000000"/>
    </cs:fontRef>
    <cs:spPr>
      <a:ln>
        <a:round/>
      </a:ln>
    </cs:spPr>
  </cs:dataPointMarker>
  <cs:dataPointMarkerLayout/>
  <cs:dataPointWireframe>
    <cs:lnRef idx="1">
      <cs:styleClr val="auto"/>
    </cs:lnRef>
    <cs:fillRef idx="0"/>
    <cs:effectRef idx="0"/>
    <cs:fontRef idx="minor">
      <a:sysClr val="windowText" lastClr="000000"/>
    </cs:fontRef>
    <cs:spPr>
      <a:ln>
        <a:round/>
      </a:ln>
    </cs:spPr>
  </cs:dataPointWireframe>
  <cs:dataTable>
    <cs:lnRef idx="1">
      <a:sysClr val="windowText" lastClr="000000">
        <a:tint val="75000"/>
      </a:sysClr>
    </cs:lnRef>
    <cs:fillRef idx="0"/>
    <cs:effectRef idx="0"/>
    <cs:fontRef idx="minor">
      <a:sysClr val="windowText" lastClr="000000"/>
    </cs:fontRef>
    <cs:spPr>
      <a:ln>
        <a:round/>
      </a:ln>
    </cs:spPr>
    <cs:defRPr sz="1000" kern="1200"/>
  </cs:dataTable>
  <cs:downBar>
    <cs:lnRef idx="1">
      <a:sysClr val="windowText" lastClr="000000"/>
    </cs:lnRef>
    <cs:fillRef idx="1" mods="ignoreCSTransforms">
      <cs:styleClr val="0">
        <a:shade val="25000"/>
      </cs:styleClr>
    </cs:fillRef>
    <cs:effectRef idx="0"/>
    <cs:fontRef idx="minor">
      <a:sysClr val="windowText" lastClr="000000"/>
    </cs:fontRef>
    <cs:spPr>
      <a:ln>
        <a:round/>
      </a:ln>
    </cs:spPr>
  </cs:downBar>
  <cs:dropLine>
    <cs:lnRef idx="1">
      <a:sysClr val="windowText" lastClr="000000"/>
    </cs:lnRef>
    <cs:fillRef idx="0"/>
    <cs:effectRef idx="0"/>
    <cs:fontRef idx="minor">
      <a:sysClr val="windowText" lastClr="000000"/>
    </cs:fontRef>
    <cs:spPr>
      <a:ln>
        <a:round/>
      </a:ln>
    </cs:spPr>
  </cs:dropLine>
  <cs:errorBar>
    <cs:lnRef idx="1">
      <a:sysClr val="windowText" lastClr="000000"/>
    </cs:lnRef>
    <cs:fillRef idx="1">
      <a:sysClr val="windowText" lastClr="000000"/>
    </cs:fillRef>
    <cs:effectRef idx="0"/>
    <cs:fontRef idx="minor">
      <a:sysClr val="windowText" lastClr="000000"/>
    </cs:fontRef>
    <cs:spPr>
      <a:ln>
        <a:round/>
      </a:ln>
    </cs:spPr>
  </cs:errorBar>
  <cs:floor>
    <cs:lnRef idx="1">
      <a:sysClr val="windowText" lastClr="000000">
        <a:tint val="75000"/>
      </a:sysClr>
    </cs:lnRef>
    <cs:fillRef idx="0"/>
    <cs:effectRef idx="0"/>
    <cs:fontRef idx="minor">
      <a:sysClr val="windowText" lastClr="000000"/>
    </cs:fontRef>
    <cs:spPr>
      <a:ln>
        <a:round/>
      </a:ln>
    </cs:spPr>
  </cs:floor>
  <cs:gridlineMajor>
    <cs:lnRef idx="1">
      <a:sysClr val="windowText" lastClr="000000">
        <a:tint val="75000"/>
      </a:sysClr>
    </cs:lnRef>
    <cs:fillRef idx="0"/>
    <cs:effectRef idx="0"/>
    <cs:fontRef idx="minor">
      <a:sysClr val="windowText" lastClr="000000"/>
    </cs:fontRef>
    <cs:spPr>
      <a:ln>
        <a:round/>
      </a:ln>
    </cs:spPr>
  </cs:gridlineMajor>
  <cs:gridlineMinor>
    <cs:lnRef idx="1">
      <a:sysClr val="windowText" lastClr="000000">
        <a:tint val="50000"/>
      </a:sysClr>
    </cs:lnRef>
    <cs:fillRef idx="0"/>
    <cs:effectRef idx="0"/>
    <cs:fontRef idx="minor">
      <a:sysClr val="windowText" lastClr="000000"/>
    </cs:fontRef>
    <cs:spPr>
      <a:ln>
        <a:round/>
      </a:ln>
    </cs:spPr>
  </cs:gridlineMinor>
  <cs:hiLoLine>
    <cs:lnRef idx="1">
      <a:sysClr val="windowText" lastClr="000000"/>
    </cs:lnRef>
    <cs:fillRef idx="0"/>
    <cs:effectRef idx="0"/>
    <cs:fontRef idx="minor">
      <a:sysClr val="windowText" lastClr="000000"/>
    </cs:fontRef>
    <cs:spPr>
      <a:ln>
        <a:round/>
      </a:ln>
    </cs:spPr>
  </cs:hiLoLine>
  <cs:leaderLine>
    <cs:lnRef idx="1">
      <a:sysClr val="windowText" lastClr="000000"/>
    </cs:lnRef>
    <cs:fillRef idx="0"/>
    <cs:effectRef idx="0"/>
    <cs:fontRef idx="minor">
      <a:sysClr val="windowText" lastClr="000000"/>
    </cs:fontRef>
    <cs:spPr>
      <a:ln>
        <a:round/>
      </a:ln>
    </cs:spPr>
  </cs:leaderLine>
  <cs:legend>
    <cs:lnRef idx="0"/>
    <cs:fillRef idx="0"/>
    <cs:effectRef idx="0"/>
    <cs:fontRef idx="minor">
      <a:sysClr val="windowText" lastClr="000000"/>
    </cs:fontRef>
    <cs:defRPr sz="1000" kern="1200"/>
  </cs:legend>
  <cs:plotArea mods="allowNoFillOverride allowNoLineOverride">
    <cs:lnRef idx="0"/>
    <cs:fillRef idx="1">
      <a:sysClr val="window" lastClr="FFFFFF"/>
    </cs:fillRef>
    <cs:effectRef idx="0"/>
    <cs:fontRef idx="minor">
      <a:sysClr val="windowText" lastClr="000000"/>
    </cs:fontRef>
  </cs:plotArea>
  <cs:plotArea3D>
    <cs:lnRef idx="0"/>
    <cs:fillRef idx="0"/>
    <cs:effectRef idx="0"/>
    <cs:fontRef idx="minor">
      <a:sysClr val="windowText" lastClr="000000"/>
    </cs:fontRef>
  </cs:plotArea3D>
  <cs:seriesAxis>
    <cs:lnRef idx="1">
      <a:sysClr val="windowText" lastClr="000000">
        <a:tint val="75000"/>
      </a:sysClr>
    </cs:lnRef>
    <cs:fillRef idx="0"/>
    <cs:effectRef idx="0"/>
    <cs:fontRef idx="minor">
      <a:sysClr val="windowText" lastClr="000000"/>
    </cs:fontRef>
    <cs:spPr>
      <a:ln>
        <a:round/>
      </a:ln>
    </cs:spPr>
    <cs:defRPr sz="1000" kern="1200"/>
  </cs:seriesAxis>
  <cs:seriesLine>
    <cs:lnRef idx="1">
      <a:sysClr val="windowText" lastClr="000000"/>
    </cs:lnRef>
    <cs:fillRef idx="0"/>
    <cs:effectRef idx="0"/>
    <cs:fontRef idx="minor">
      <a:sysClr val="windowText" lastClr="000000"/>
    </cs:fontRef>
    <cs:spPr>
      <a:ln>
        <a:round/>
      </a:ln>
    </cs:spPr>
  </cs:seriesLine>
  <cs:title>
    <cs:lnRef idx="0"/>
    <cs:fillRef idx="0"/>
    <cs:effectRef idx="0"/>
    <cs:fontRef idx="minor">
      <a:sysClr val="windowText" lastClr="000000"/>
    </cs:fontRef>
    <cs:defRPr sz="1800" b="1" kern="1200"/>
  </cs:title>
  <cs:trendline>
    <cs:lnRef idx="1">
      <a:sysClr val="windowText" lastClr="000000"/>
    </cs:lnRef>
    <cs:fillRef idx="0"/>
    <cs:effectRef idx="0"/>
    <cs:fontRef idx="minor">
      <a:sysClr val="windowText" lastClr="000000"/>
    </cs:fontRef>
    <cs:spPr>
      <a:ln cap="rnd">
        <a:round/>
      </a:ln>
    </cs:spPr>
  </cs:trendline>
  <cs:trendlineLabel>
    <cs:lnRef idx="0"/>
    <cs:fillRef idx="0"/>
    <cs:effectRef idx="0"/>
    <cs:fontRef idx="minor">
      <a:sysClr val="windowText" lastClr="000000"/>
    </cs:fontRef>
    <cs:defRPr sz="1000" kern="1200"/>
  </cs:trendlineLabel>
  <cs:upBar>
    <cs:lnRef idx="1">
      <a:sysClr val="windowText" lastClr="000000"/>
    </cs:lnRef>
    <cs:fillRef idx="1" mods="ignoreCSTransforms">
      <cs:styleClr val="0">
        <a:tint val="25000"/>
      </cs:styleClr>
    </cs:fillRef>
    <cs:effectRef idx="0"/>
    <cs:fontRef idx="minor">
      <a:sysClr val="windowText" lastClr="000000"/>
    </cs:fontRef>
    <cs:spPr>
      <a:ln>
        <a:round/>
      </a:ln>
    </cs:spPr>
  </cs:upBar>
  <cs:valueAxis>
    <cs:lnRef idx="1">
      <a:sysClr val="windowText" lastClr="000000">
        <a:tint val="75000"/>
      </a:sysClr>
    </cs:lnRef>
    <cs:fillRef idx="0"/>
    <cs:effectRef idx="0"/>
    <cs:fontRef idx="minor">
      <a:sysClr val="windowText" lastClr="000000"/>
    </cs:fontRef>
    <cs:spPr>
      <a:ln>
        <a:round/>
      </a:ln>
    </cs:spPr>
    <cs:defRPr sz="1000" kern="1200"/>
  </cs:valueAxis>
  <cs:wall>
    <cs:lnRef idx="0"/>
    <cs:fillRef idx="0"/>
    <cs:effectRef idx="0"/>
    <cs:fontRef idx="minor">
      <a:sysClr val="windowText" lastClr="000000"/>
    </cs:fontRef>
  </cs:wall>
</cs:chartStyle>
</file>

<file path=word/charts/style37.xml><?xml version="1.0" encoding="utf-8"?>
<cs:chartStyle xmlns:cs="http://schemas.microsoft.com/office/drawing/2012/chartStyle" xmlns:a="http://schemas.openxmlformats.org/drawingml/2006/main" id="107">
  <cs:axisTitle>
    <cs:lnRef idx="0"/>
    <cs:fillRef idx="0"/>
    <cs:effectRef idx="0"/>
    <cs:fontRef idx="minor">
      <a:sysClr val="windowText" lastClr="000000"/>
    </cs:fontRef>
    <cs:defRPr sz="1000" b="1" kern="1200"/>
  </cs:axisTitle>
  <cs:categoryAxis>
    <cs:lnRef idx="1">
      <a:sysClr val="windowText" lastClr="000000">
        <a:tint val="75000"/>
      </a:sysClr>
    </cs:lnRef>
    <cs:fillRef idx="0"/>
    <cs:effectRef idx="0"/>
    <cs:fontRef idx="minor">
      <a:sysClr val="windowText" lastClr="000000"/>
    </cs:fontRef>
    <cs:spPr>
      <a:ln>
        <a:round/>
      </a:ln>
    </cs:spPr>
    <cs:defRPr sz="1000" kern="1200"/>
  </cs:categoryAxis>
  <cs:chartArea mods="allowNoFillOverride allowNoLineOverride">
    <cs:lnRef idx="1">
      <a:sysClr val="windowText" lastClr="000000">
        <a:tint val="75000"/>
      </a:sysClr>
    </cs:lnRef>
    <cs:fillRef idx="1">
      <a:sysClr val="window" lastClr="FFFFFF"/>
    </cs:fillRef>
    <cs:effectRef idx="0"/>
    <cs:fontRef idx="minor">
      <a:sysClr val="windowText" lastClr="000000"/>
    </cs:fontRef>
    <cs:spPr>
      <a:ln>
        <a:round/>
      </a:ln>
    </cs:spPr>
    <cs:defRPr sz="1000" kern="1200"/>
  </cs:chartArea>
  <cs:dataLabel>
    <cs:lnRef idx="0"/>
    <cs:fillRef idx="0"/>
    <cs:effectRef idx="0"/>
    <cs:fontRef idx="minor">
      <a:sysClr val="windowText" lastClr="000000"/>
    </cs:fontRef>
    <cs:defRPr sz="1000" kern="1200"/>
  </cs:dataLabel>
  <cs:dataLabelCallout>
    <cs:lnRef idx="0"/>
    <cs:fillRef idx="0"/>
    <cs:effectRef idx="0"/>
    <cs:fontRef idx="minor">
      <a:sysClr val="windowText" lastClr="000000"/>
    </cs:fontRef>
    <cs:spPr>
      <a:solidFill>
        <a:sysClr val="window" lastClr="FFFFFF"/>
      </a:solidFill>
      <a:ln>
        <a:solidFill>
          <a:sysClr val="windowText" lastClr="000000">
            <a:lumMod val="65000"/>
            <a:lumOff val="35000"/>
          </a:sysClr>
        </a:solidFill>
      </a:ln>
    </cs:spPr>
    <cs:defRPr sz="1000" kern="1200"/>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1">
      <cs:styleClr val="auto"/>
    </cs:lnRef>
    <cs:lineWidthScale>3</cs:lineWidthScale>
    <cs:fillRef idx="0"/>
    <cs:effectRef idx="0"/>
    <cs:fontRef idx="minor">
      <a:sysClr val="windowText" lastClr="000000"/>
    </cs:fontRef>
    <cs:spPr>
      <a:ln cap="rnd">
        <a:round/>
      </a:ln>
    </cs:spPr>
  </cs:dataPointLine>
  <cs:dataPointMarker>
    <cs:lnRef idx="1">
      <cs:styleClr val="auto"/>
    </cs:lnRef>
    <cs:fillRef idx="1">
      <cs:styleClr val="auto"/>
    </cs:fillRef>
    <cs:effectRef idx="0"/>
    <cs:fontRef idx="minor">
      <a:sysClr val="windowText" lastClr="000000"/>
    </cs:fontRef>
    <cs:spPr>
      <a:ln>
        <a:round/>
      </a:ln>
    </cs:spPr>
  </cs:dataPointMarker>
  <cs:dataPointMarkerLayout/>
  <cs:dataPointWireframe>
    <cs:lnRef idx="1">
      <cs:styleClr val="auto"/>
    </cs:lnRef>
    <cs:fillRef idx="0"/>
    <cs:effectRef idx="0"/>
    <cs:fontRef idx="minor">
      <a:sysClr val="windowText" lastClr="000000"/>
    </cs:fontRef>
    <cs:spPr>
      <a:ln>
        <a:round/>
      </a:ln>
    </cs:spPr>
  </cs:dataPointWireframe>
  <cs:dataTable>
    <cs:lnRef idx="1">
      <a:sysClr val="windowText" lastClr="000000">
        <a:tint val="75000"/>
      </a:sysClr>
    </cs:lnRef>
    <cs:fillRef idx="0"/>
    <cs:effectRef idx="0"/>
    <cs:fontRef idx="minor">
      <a:sysClr val="windowText" lastClr="000000"/>
    </cs:fontRef>
    <cs:spPr>
      <a:ln>
        <a:round/>
      </a:ln>
    </cs:spPr>
    <cs:defRPr sz="1000" kern="1200"/>
  </cs:dataTable>
  <cs:downBar>
    <cs:lnRef idx="1">
      <a:sysClr val="windowText" lastClr="000000"/>
    </cs:lnRef>
    <cs:fillRef idx="1" mods="ignoreCSTransforms">
      <cs:styleClr val="0">
        <a:shade val="25000"/>
      </cs:styleClr>
    </cs:fillRef>
    <cs:effectRef idx="0"/>
    <cs:fontRef idx="minor">
      <a:sysClr val="windowText" lastClr="000000"/>
    </cs:fontRef>
    <cs:spPr>
      <a:ln>
        <a:round/>
      </a:ln>
    </cs:spPr>
  </cs:downBar>
  <cs:dropLine>
    <cs:lnRef idx="1">
      <a:sysClr val="windowText" lastClr="000000"/>
    </cs:lnRef>
    <cs:fillRef idx="0"/>
    <cs:effectRef idx="0"/>
    <cs:fontRef idx="minor">
      <a:sysClr val="windowText" lastClr="000000"/>
    </cs:fontRef>
    <cs:spPr>
      <a:ln>
        <a:round/>
      </a:ln>
    </cs:spPr>
  </cs:dropLine>
  <cs:errorBar>
    <cs:lnRef idx="1">
      <a:sysClr val="windowText" lastClr="000000"/>
    </cs:lnRef>
    <cs:fillRef idx="1">
      <a:sysClr val="windowText" lastClr="000000"/>
    </cs:fillRef>
    <cs:effectRef idx="0"/>
    <cs:fontRef idx="minor">
      <a:sysClr val="windowText" lastClr="000000"/>
    </cs:fontRef>
    <cs:spPr>
      <a:ln>
        <a:round/>
      </a:ln>
    </cs:spPr>
  </cs:errorBar>
  <cs:floor>
    <cs:lnRef idx="1">
      <a:sysClr val="windowText" lastClr="000000">
        <a:tint val="75000"/>
      </a:sysClr>
    </cs:lnRef>
    <cs:fillRef idx="0"/>
    <cs:effectRef idx="0"/>
    <cs:fontRef idx="minor">
      <a:sysClr val="windowText" lastClr="000000"/>
    </cs:fontRef>
    <cs:spPr>
      <a:ln>
        <a:round/>
      </a:ln>
    </cs:spPr>
  </cs:floor>
  <cs:gridlineMajor>
    <cs:lnRef idx="1">
      <a:sysClr val="windowText" lastClr="000000">
        <a:tint val="75000"/>
      </a:sysClr>
    </cs:lnRef>
    <cs:fillRef idx="0"/>
    <cs:effectRef idx="0"/>
    <cs:fontRef idx="minor">
      <a:sysClr val="windowText" lastClr="000000"/>
    </cs:fontRef>
    <cs:spPr>
      <a:ln>
        <a:round/>
      </a:ln>
    </cs:spPr>
  </cs:gridlineMajor>
  <cs:gridlineMinor>
    <cs:lnRef idx="1">
      <a:sysClr val="windowText" lastClr="000000">
        <a:tint val="50000"/>
      </a:sysClr>
    </cs:lnRef>
    <cs:fillRef idx="0"/>
    <cs:effectRef idx="0"/>
    <cs:fontRef idx="minor">
      <a:sysClr val="windowText" lastClr="000000"/>
    </cs:fontRef>
    <cs:spPr>
      <a:ln>
        <a:round/>
      </a:ln>
    </cs:spPr>
  </cs:gridlineMinor>
  <cs:hiLoLine>
    <cs:lnRef idx="1">
      <a:sysClr val="windowText" lastClr="000000"/>
    </cs:lnRef>
    <cs:fillRef idx="0"/>
    <cs:effectRef idx="0"/>
    <cs:fontRef idx="minor">
      <a:sysClr val="windowText" lastClr="000000"/>
    </cs:fontRef>
    <cs:spPr>
      <a:ln>
        <a:round/>
      </a:ln>
    </cs:spPr>
  </cs:hiLoLine>
  <cs:leaderLine>
    <cs:lnRef idx="1">
      <a:sysClr val="windowText" lastClr="000000"/>
    </cs:lnRef>
    <cs:fillRef idx="0"/>
    <cs:effectRef idx="0"/>
    <cs:fontRef idx="minor">
      <a:sysClr val="windowText" lastClr="000000"/>
    </cs:fontRef>
    <cs:spPr>
      <a:ln>
        <a:round/>
      </a:ln>
    </cs:spPr>
  </cs:leaderLine>
  <cs:legend>
    <cs:lnRef idx="0"/>
    <cs:fillRef idx="0"/>
    <cs:effectRef idx="0"/>
    <cs:fontRef idx="minor">
      <a:sysClr val="windowText" lastClr="000000"/>
    </cs:fontRef>
    <cs:defRPr sz="1000" kern="1200"/>
  </cs:legend>
  <cs:plotArea mods="allowNoFillOverride allowNoLineOverride">
    <cs:lnRef idx="0"/>
    <cs:fillRef idx="1">
      <a:sysClr val="window" lastClr="FFFFFF"/>
    </cs:fillRef>
    <cs:effectRef idx="0"/>
    <cs:fontRef idx="minor">
      <a:sysClr val="windowText" lastClr="000000"/>
    </cs:fontRef>
  </cs:plotArea>
  <cs:plotArea3D>
    <cs:lnRef idx="0"/>
    <cs:fillRef idx="0"/>
    <cs:effectRef idx="0"/>
    <cs:fontRef idx="minor">
      <a:sysClr val="windowText" lastClr="000000"/>
    </cs:fontRef>
  </cs:plotArea3D>
  <cs:seriesAxis>
    <cs:lnRef idx="1">
      <a:sysClr val="windowText" lastClr="000000">
        <a:tint val="75000"/>
      </a:sysClr>
    </cs:lnRef>
    <cs:fillRef idx="0"/>
    <cs:effectRef idx="0"/>
    <cs:fontRef idx="minor">
      <a:sysClr val="windowText" lastClr="000000"/>
    </cs:fontRef>
    <cs:spPr>
      <a:ln>
        <a:round/>
      </a:ln>
    </cs:spPr>
    <cs:defRPr sz="1000" kern="1200"/>
  </cs:seriesAxis>
  <cs:seriesLine>
    <cs:lnRef idx="1">
      <a:sysClr val="windowText" lastClr="000000"/>
    </cs:lnRef>
    <cs:fillRef idx="0"/>
    <cs:effectRef idx="0"/>
    <cs:fontRef idx="minor">
      <a:sysClr val="windowText" lastClr="000000"/>
    </cs:fontRef>
    <cs:spPr>
      <a:ln>
        <a:round/>
      </a:ln>
    </cs:spPr>
  </cs:seriesLine>
  <cs:title>
    <cs:lnRef idx="0"/>
    <cs:fillRef idx="0"/>
    <cs:effectRef idx="0"/>
    <cs:fontRef idx="minor">
      <a:sysClr val="windowText" lastClr="000000"/>
    </cs:fontRef>
    <cs:defRPr sz="1800" b="1" kern="1200"/>
  </cs:title>
  <cs:trendline>
    <cs:lnRef idx="1">
      <a:sysClr val="windowText" lastClr="000000"/>
    </cs:lnRef>
    <cs:fillRef idx="0"/>
    <cs:effectRef idx="0"/>
    <cs:fontRef idx="minor">
      <a:sysClr val="windowText" lastClr="000000"/>
    </cs:fontRef>
    <cs:spPr>
      <a:ln cap="rnd">
        <a:round/>
      </a:ln>
    </cs:spPr>
  </cs:trendline>
  <cs:trendlineLabel>
    <cs:lnRef idx="0"/>
    <cs:fillRef idx="0"/>
    <cs:effectRef idx="0"/>
    <cs:fontRef idx="minor">
      <a:sysClr val="windowText" lastClr="000000"/>
    </cs:fontRef>
    <cs:defRPr sz="1000" kern="1200"/>
  </cs:trendlineLabel>
  <cs:upBar>
    <cs:lnRef idx="1">
      <a:sysClr val="windowText" lastClr="000000"/>
    </cs:lnRef>
    <cs:fillRef idx="1" mods="ignoreCSTransforms">
      <cs:styleClr val="0">
        <a:tint val="25000"/>
      </cs:styleClr>
    </cs:fillRef>
    <cs:effectRef idx="0"/>
    <cs:fontRef idx="minor">
      <a:sysClr val="windowText" lastClr="000000"/>
    </cs:fontRef>
    <cs:spPr>
      <a:ln>
        <a:round/>
      </a:ln>
    </cs:spPr>
  </cs:upBar>
  <cs:valueAxis>
    <cs:lnRef idx="1">
      <a:sysClr val="windowText" lastClr="000000">
        <a:tint val="75000"/>
      </a:sysClr>
    </cs:lnRef>
    <cs:fillRef idx="0"/>
    <cs:effectRef idx="0"/>
    <cs:fontRef idx="minor">
      <a:sysClr val="windowText" lastClr="000000"/>
    </cs:fontRef>
    <cs:spPr>
      <a:ln>
        <a:round/>
      </a:ln>
    </cs:spPr>
    <cs:defRPr sz="1000" kern="1200"/>
  </cs:valueAxis>
  <cs:wall>
    <cs:lnRef idx="0"/>
    <cs:fillRef idx="0"/>
    <cs:effectRef idx="0"/>
    <cs:fontRef idx="minor">
      <a:sysClr val="windowText" lastClr="000000"/>
    </cs:fontRef>
  </cs:wall>
</cs:chartStyle>
</file>

<file path=word/charts/style38.xml><?xml version="1.0" encoding="utf-8"?>
<cs:chartStyle xmlns:cs="http://schemas.microsoft.com/office/drawing/2012/chartStyle" xmlns:a="http://schemas.openxmlformats.org/drawingml/2006/main" id="251">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9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spPr>
      <a:ln w="19050">
        <a:solidFill>
          <a:sysClr val="window" lastClr="FFFFFF"/>
        </a:solidFill>
      </a:ln>
    </cs:spPr>
  </cs:dataPoint>
  <cs:dataPoint3D>
    <cs:lnRef idx="0"/>
    <cs:fillRef idx="1">
      <cs:styleClr val="auto"/>
    </cs:fillRef>
    <cs:effectRef idx="0"/>
    <cs:fontRef idx="minor">
      <a:sysClr val="windowText" lastClr="000000"/>
    </cs:fontRef>
    <cs:spPr>
      <a:ln w="25400">
        <a:solidFill>
          <a:sysClr val="window" lastClr="FFFFFF"/>
        </a:solidFill>
      </a:ln>
    </cs:spPr>
  </cs:dataPoint3D>
  <cs:dataPointLine>
    <cs:lnRef idx="0">
      <cs:styleClr val="auto"/>
    </cs:lnRef>
    <cs:fillRef idx="0"/>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0"/>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75000"/>
          <a:lumOff val="25000"/>
        </a:sysClr>
      </a:solidFill>
      <a:ln w="9525" cap="flat" cmpd="sng" algn="ctr">
        <a:solidFill>
          <a:sysClr val="windowText" lastClr="000000">
            <a:lumMod val="65000"/>
            <a:lumOff val="35000"/>
          </a:sysClr>
        </a:solidFill>
        <a:round/>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50000"/>
            <a:lumOff val="50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cap="flat" cmpd="sng" algn="ctr">
        <a:solidFill>
          <a:sysClr val="windowText" lastClr="000000">
            <a:lumMod val="65000"/>
            <a:lumOff val="35000"/>
          </a:sysClr>
        </a:solidFill>
        <a:round/>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39.xml><?xml version="1.0" encoding="utf-8"?>
<cs:chartStyle xmlns:cs="http://schemas.microsoft.com/office/drawing/2012/chartStyle" xmlns:a="http://schemas.openxmlformats.org/drawingml/2006/main" id="107">
  <cs:axisTitle>
    <cs:lnRef idx="0"/>
    <cs:fillRef idx="0"/>
    <cs:effectRef idx="0"/>
    <cs:fontRef idx="minor">
      <a:sysClr val="windowText" lastClr="000000"/>
    </cs:fontRef>
    <cs:defRPr sz="1000" b="1" kern="1200"/>
  </cs:axisTitle>
  <cs:categoryAxis>
    <cs:lnRef idx="1">
      <a:sysClr val="windowText" lastClr="000000">
        <a:tint val="75000"/>
      </a:sysClr>
    </cs:lnRef>
    <cs:fillRef idx="0"/>
    <cs:effectRef idx="0"/>
    <cs:fontRef idx="minor">
      <a:sysClr val="windowText" lastClr="000000"/>
    </cs:fontRef>
    <cs:spPr>
      <a:ln>
        <a:round/>
      </a:ln>
    </cs:spPr>
    <cs:defRPr sz="1000" kern="1200"/>
  </cs:categoryAxis>
  <cs:chartArea mods="allowNoFillOverride allowNoLineOverride">
    <cs:lnRef idx="1">
      <a:sysClr val="windowText" lastClr="000000">
        <a:tint val="75000"/>
      </a:sysClr>
    </cs:lnRef>
    <cs:fillRef idx="1">
      <a:sysClr val="window" lastClr="FFFFFF"/>
    </cs:fillRef>
    <cs:effectRef idx="0"/>
    <cs:fontRef idx="minor">
      <a:sysClr val="windowText" lastClr="000000"/>
    </cs:fontRef>
    <cs:spPr>
      <a:ln>
        <a:round/>
      </a:ln>
    </cs:spPr>
    <cs:defRPr sz="1000" kern="1200"/>
  </cs:chartArea>
  <cs:dataLabel>
    <cs:lnRef idx="0"/>
    <cs:fillRef idx="0"/>
    <cs:effectRef idx="0"/>
    <cs:fontRef idx="minor">
      <a:sysClr val="windowText" lastClr="000000"/>
    </cs:fontRef>
    <cs:defRPr sz="1000" kern="1200"/>
  </cs:dataLabel>
  <cs:dataLabelCallout>
    <cs:lnRef idx="0"/>
    <cs:fillRef idx="0"/>
    <cs:effectRef idx="0"/>
    <cs:fontRef idx="minor">
      <a:sysClr val="windowText" lastClr="000000"/>
    </cs:fontRef>
    <cs:spPr>
      <a:solidFill>
        <a:sysClr val="window" lastClr="FFFFFF"/>
      </a:solidFill>
      <a:ln>
        <a:solidFill>
          <a:sysClr val="windowText" lastClr="000000">
            <a:lumMod val="65000"/>
            <a:lumOff val="35000"/>
          </a:sysClr>
        </a:solidFill>
      </a:ln>
    </cs:spPr>
    <cs:defRPr sz="1000" kern="1200"/>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1">
      <cs:styleClr val="auto"/>
    </cs:lnRef>
    <cs:lineWidthScale>3</cs:lineWidthScale>
    <cs:fillRef idx="0"/>
    <cs:effectRef idx="0"/>
    <cs:fontRef idx="minor">
      <a:sysClr val="windowText" lastClr="000000"/>
    </cs:fontRef>
    <cs:spPr>
      <a:ln cap="rnd">
        <a:round/>
      </a:ln>
    </cs:spPr>
  </cs:dataPointLine>
  <cs:dataPointMarker>
    <cs:lnRef idx="1">
      <cs:styleClr val="auto"/>
    </cs:lnRef>
    <cs:fillRef idx="1">
      <cs:styleClr val="auto"/>
    </cs:fillRef>
    <cs:effectRef idx="0"/>
    <cs:fontRef idx="minor">
      <a:sysClr val="windowText" lastClr="000000"/>
    </cs:fontRef>
    <cs:spPr>
      <a:ln>
        <a:round/>
      </a:ln>
    </cs:spPr>
  </cs:dataPointMarker>
  <cs:dataPointMarkerLayout/>
  <cs:dataPointWireframe>
    <cs:lnRef idx="1">
      <cs:styleClr val="auto"/>
    </cs:lnRef>
    <cs:fillRef idx="0"/>
    <cs:effectRef idx="0"/>
    <cs:fontRef idx="minor">
      <a:sysClr val="windowText" lastClr="000000"/>
    </cs:fontRef>
    <cs:spPr>
      <a:ln>
        <a:round/>
      </a:ln>
    </cs:spPr>
  </cs:dataPointWireframe>
  <cs:dataTable>
    <cs:lnRef idx="1">
      <a:sysClr val="windowText" lastClr="000000">
        <a:tint val="75000"/>
      </a:sysClr>
    </cs:lnRef>
    <cs:fillRef idx="0"/>
    <cs:effectRef idx="0"/>
    <cs:fontRef idx="minor">
      <a:sysClr val="windowText" lastClr="000000"/>
    </cs:fontRef>
    <cs:spPr>
      <a:ln>
        <a:round/>
      </a:ln>
    </cs:spPr>
    <cs:defRPr sz="1000" kern="1200"/>
  </cs:dataTable>
  <cs:downBar>
    <cs:lnRef idx="1">
      <a:sysClr val="windowText" lastClr="000000"/>
    </cs:lnRef>
    <cs:fillRef idx="1" mods="ignoreCSTransforms">
      <cs:styleClr val="0">
        <a:shade val="25000"/>
      </cs:styleClr>
    </cs:fillRef>
    <cs:effectRef idx="0"/>
    <cs:fontRef idx="minor">
      <a:sysClr val="windowText" lastClr="000000"/>
    </cs:fontRef>
    <cs:spPr>
      <a:ln>
        <a:round/>
      </a:ln>
    </cs:spPr>
  </cs:downBar>
  <cs:dropLine>
    <cs:lnRef idx="1">
      <a:sysClr val="windowText" lastClr="000000"/>
    </cs:lnRef>
    <cs:fillRef idx="0"/>
    <cs:effectRef idx="0"/>
    <cs:fontRef idx="minor">
      <a:sysClr val="windowText" lastClr="000000"/>
    </cs:fontRef>
    <cs:spPr>
      <a:ln>
        <a:round/>
      </a:ln>
    </cs:spPr>
  </cs:dropLine>
  <cs:errorBar>
    <cs:lnRef idx="1">
      <a:sysClr val="windowText" lastClr="000000"/>
    </cs:lnRef>
    <cs:fillRef idx="1">
      <a:sysClr val="windowText" lastClr="000000"/>
    </cs:fillRef>
    <cs:effectRef idx="0"/>
    <cs:fontRef idx="minor">
      <a:sysClr val="windowText" lastClr="000000"/>
    </cs:fontRef>
    <cs:spPr>
      <a:ln>
        <a:round/>
      </a:ln>
    </cs:spPr>
  </cs:errorBar>
  <cs:floor>
    <cs:lnRef idx="1">
      <a:sysClr val="windowText" lastClr="000000">
        <a:tint val="75000"/>
      </a:sysClr>
    </cs:lnRef>
    <cs:fillRef idx="0"/>
    <cs:effectRef idx="0"/>
    <cs:fontRef idx="minor">
      <a:sysClr val="windowText" lastClr="000000"/>
    </cs:fontRef>
    <cs:spPr>
      <a:ln>
        <a:round/>
      </a:ln>
    </cs:spPr>
  </cs:floor>
  <cs:gridlineMajor>
    <cs:lnRef idx="1">
      <a:sysClr val="windowText" lastClr="000000">
        <a:tint val="75000"/>
      </a:sysClr>
    </cs:lnRef>
    <cs:fillRef idx="0"/>
    <cs:effectRef idx="0"/>
    <cs:fontRef idx="minor">
      <a:sysClr val="windowText" lastClr="000000"/>
    </cs:fontRef>
    <cs:spPr>
      <a:ln>
        <a:round/>
      </a:ln>
    </cs:spPr>
  </cs:gridlineMajor>
  <cs:gridlineMinor>
    <cs:lnRef idx="1">
      <a:sysClr val="windowText" lastClr="000000">
        <a:tint val="50000"/>
      </a:sysClr>
    </cs:lnRef>
    <cs:fillRef idx="0"/>
    <cs:effectRef idx="0"/>
    <cs:fontRef idx="minor">
      <a:sysClr val="windowText" lastClr="000000"/>
    </cs:fontRef>
    <cs:spPr>
      <a:ln>
        <a:round/>
      </a:ln>
    </cs:spPr>
  </cs:gridlineMinor>
  <cs:hiLoLine>
    <cs:lnRef idx="1">
      <a:sysClr val="windowText" lastClr="000000"/>
    </cs:lnRef>
    <cs:fillRef idx="0"/>
    <cs:effectRef idx="0"/>
    <cs:fontRef idx="minor">
      <a:sysClr val="windowText" lastClr="000000"/>
    </cs:fontRef>
    <cs:spPr>
      <a:ln>
        <a:round/>
      </a:ln>
    </cs:spPr>
  </cs:hiLoLine>
  <cs:leaderLine>
    <cs:lnRef idx="1">
      <a:sysClr val="windowText" lastClr="000000"/>
    </cs:lnRef>
    <cs:fillRef idx="0"/>
    <cs:effectRef idx="0"/>
    <cs:fontRef idx="minor">
      <a:sysClr val="windowText" lastClr="000000"/>
    </cs:fontRef>
    <cs:spPr>
      <a:ln>
        <a:round/>
      </a:ln>
    </cs:spPr>
  </cs:leaderLine>
  <cs:legend>
    <cs:lnRef idx="0"/>
    <cs:fillRef idx="0"/>
    <cs:effectRef idx="0"/>
    <cs:fontRef idx="minor">
      <a:sysClr val="windowText" lastClr="000000"/>
    </cs:fontRef>
    <cs:defRPr sz="1000" kern="1200"/>
  </cs:legend>
  <cs:plotArea mods="allowNoFillOverride allowNoLineOverride">
    <cs:lnRef idx="0"/>
    <cs:fillRef idx="1">
      <a:sysClr val="window" lastClr="FFFFFF"/>
    </cs:fillRef>
    <cs:effectRef idx="0"/>
    <cs:fontRef idx="minor">
      <a:sysClr val="windowText" lastClr="000000"/>
    </cs:fontRef>
  </cs:plotArea>
  <cs:plotArea3D>
    <cs:lnRef idx="0"/>
    <cs:fillRef idx="0"/>
    <cs:effectRef idx="0"/>
    <cs:fontRef idx="minor">
      <a:sysClr val="windowText" lastClr="000000"/>
    </cs:fontRef>
  </cs:plotArea3D>
  <cs:seriesAxis>
    <cs:lnRef idx="1">
      <a:sysClr val="windowText" lastClr="000000">
        <a:tint val="75000"/>
      </a:sysClr>
    </cs:lnRef>
    <cs:fillRef idx="0"/>
    <cs:effectRef idx="0"/>
    <cs:fontRef idx="minor">
      <a:sysClr val="windowText" lastClr="000000"/>
    </cs:fontRef>
    <cs:spPr>
      <a:ln>
        <a:round/>
      </a:ln>
    </cs:spPr>
    <cs:defRPr sz="1000" kern="1200"/>
  </cs:seriesAxis>
  <cs:seriesLine>
    <cs:lnRef idx="1">
      <a:sysClr val="windowText" lastClr="000000"/>
    </cs:lnRef>
    <cs:fillRef idx="0"/>
    <cs:effectRef idx="0"/>
    <cs:fontRef idx="minor">
      <a:sysClr val="windowText" lastClr="000000"/>
    </cs:fontRef>
    <cs:spPr>
      <a:ln>
        <a:round/>
      </a:ln>
    </cs:spPr>
  </cs:seriesLine>
  <cs:title>
    <cs:lnRef idx="0"/>
    <cs:fillRef idx="0"/>
    <cs:effectRef idx="0"/>
    <cs:fontRef idx="minor">
      <a:sysClr val="windowText" lastClr="000000"/>
    </cs:fontRef>
    <cs:defRPr sz="1800" b="1" kern="1200"/>
  </cs:title>
  <cs:trendline>
    <cs:lnRef idx="1">
      <a:sysClr val="windowText" lastClr="000000"/>
    </cs:lnRef>
    <cs:fillRef idx="0"/>
    <cs:effectRef idx="0"/>
    <cs:fontRef idx="minor">
      <a:sysClr val="windowText" lastClr="000000"/>
    </cs:fontRef>
    <cs:spPr>
      <a:ln cap="rnd">
        <a:round/>
      </a:ln>
    </cs:spPr>
  </cs:trendline>
  <cs:trendlineLabel>
    <cs:lnRef idx="0"/>
    <cs:fillRef idx="0"/>
    <cs:effectRef idx="0"/>
    <cs:fontRef idx="minor">
      <a:sysClr val="windowText" lastClr="000000"/>
    </cs:fontRef>
    <cs:defRPr sz="1000" kern="1200"/>
  </cs:trendlineLabel>
  <cs:upBar>
    <cs:lnRef idx="1">
      <a:sysClr val="windowText" lastClr="000000"/>
    </cs:lnRef>
    <cs:fillRef idx="1" mods="ignoreCSTransforms">
      <cs:styleClr val="0">
        <a:tint val="25000"/>
      </cs:styleClr>
    </cs:fillRef>
    <cs:effectRef idx="0"/>
    <cs:fontRef idx="minor">
      <a:sysClr val="windowText" lastClr="000000"/>
    </cs:fontRef>
    <cs:spPr>
      <a:ln>
        <a:round/>
      </a:ln>
    </cs:spPr>
  </cs:upBar>
  <cs:valueAxis>
    <cs:lnRef idx="1">
      <a:sysClr val="windowText" lastClr="000000">
        <a:tint val="75000"/>
      </a:sysClr>
    </cs:lnRef>
    <cs:fillRef idx="0"/>
    <cs:effectRef idx="0"/>
    <cs:fontRef idx="minor">
      <a:sysClr val="windowText" lastClr="000000"/>
    </cs:fontRef>
    <cs:spPr>
      <a:ln>
        <a:round/>
      </a:ln>
    </cs:spPr>
    <cs:defRPr sz="1000" kern="1200"/>
  </cs:valueAxis>
  <cs:wall>
    <cs:lnRef idx="0"/>
    <cs:fillRef idx="0"/>
    <cs:effectRef idx="0"/>
    <cs:fontRef idx="minor">
      <a:sysClr val="windowText" lastClr="000000"/>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40.xml><?xml version="1.0" encoding="utf-8"?>
<cs:chartStyle xmlns:cs="http://schemas.microsoft.com/office/drawing/2012/chartStyle" xmlns:a="http://schemas.openxmlformats.org/drawingml/2006/main" id="107">
  <cs:axisTitle>
    <cs:lnRef idx="0"/>
    <cs:fillRef idx="0"/>
    <cs:effectRef idx="0"/>
    <cs:fontRef idx="minor">
      <a:sysClr val="windowText" lastClr="000000"/>
    </cs:fontRef>
    <cs:defRPr sz="1000" b="1" kern="1200"/>
  </cs:axisTitle>
  <cs:categoryAxis>
    <cs:lnRef idx="1">
      <a:sysClr val="windowText" lastClr="000000">
        <a:tint val="75000"/>
      </a:sysClr>
    </cs:lnRef>
    <cs:fillRef idx="0"/>
    <cs:effectRef idx="0"/>
    <cs:fontRef idx="minor">
      <a:sysClr val="windowText" lastClr="000000"/>
    </cs:fontRef>
    <cs:spPr>
      <a:ln>
        <a:round/>
      </a:ln>
    </cs:spPr>
    <cs:defRPr sz="1000" kern="1200"/>
  </cs:categoryAxis>
  <cs:chartArea mods="allowNoFillOverride allowNoLineOverride">
    <cs:lnRef idx="1">
      <a:sysClr val="windowText" lastClr="000000">
        <a:tint val="75000"/>
      </a:sysClr>
    </cs:lnRef>
    <cs:fillRef idx="1">
      <a:sysClr val="window" lastClr="FFFFFF"/>
    </cs:fillRef>
    <cs:effectRef idx="0"/>
    <cs:fontRef idx="minor">
      <a:sysClr val="windowText" lastClr="000000"/>
    </cs:fontRef>
    <cs:spPr>
      <a:ln>
        <a:round/>
      </a:ln>
    </cs:spPr>
    <cs:defRPr sz="1000" kern="1200"/>
  </cs:chartArea>
  <cs:dataLabel>
    <cs:lnRef idx="0"/>
    <cs:fillRef idx="0"/>
    <cs:effectRef idx="0"/>
    <cs:fontRef idx="minor">
      <a:sysClr val="windowText" lastClr="000000"/>
    </cs:fontRef>
    <cs:defRPr sz="1000" kern="1200"/>
  </cs:dataLabel>
  <cs:dataLabelCallout>
    <cs:lnRef idx="0"/>
    <cs:fillRef idx="0"/>
    <cs:effectRef idx="0"/>
    <cs:fontRef idx="minor">
      <a:sysClr val="windowText" lastClr="000000"/>
    </cs:fontRef>
    <cs:spPr>
      <a:solidFill>
        <a:sysClr val="window" lastClr="FFFFFF"/>
      </a:solidFill>
      <a:ln>
        <a:solidFill>
          <a:sysClr val="windowText" lastClr="000000">
            <a:lumMod val="65000"/>
            <a:lumOff val="35000"/>
          </a:sysClr>
        </a:solidFill>
      </a:ln>
    </cs:spPr>
    <cs:defRPr sz="1000" kern="1200"/>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1">
      <cs:styleClr val="auto"/>
    </cs:lnRef>
    <cs:lineWidthScale>3</cs:lineWidthScale>
    <cs:fillRef idx="0"/>
    <cs:effectRef idx="0"/>
    <cs:fontRef idx="minor">
      <a:sysClr val="windowText" lastClr="000000"/>
    </cs:fontRef>
    <cs:spPr>
      <a:ln cap="rnd">
        <a:round/>
      </a:ln>
    </cs:spPr>
  </cs:dataPointLine>
  <cs:dataPointMarker>
    <cs:lnRef idx="1">
      <cs:styleClr val="auto"/>
    </cs:lnRef>
    <cs:fillRef idx="1">
      <cs:styleClr val="auto"/>
    </cs:fillRef>
    <cs:effectRef idx="0"/>
    <cs:fontRef idx="minor">
      <a:sysClr val="windowText" lastClr="000000"/>
    </cs:fontRef>
    <cs:spPr>
      <a:ln>
        <a:round/>
      </a:ln>
    </cs:spPr>
  </cs:dataPointMarker>
  <cs:dataPointMarkerLayout/>
  <cs:dataPointWireframe>
    <cs:lnRef idx="1">
      <cs:styleClr val="auto"/>
    </cs:lnRef>
    <cs:fillRef idx="0"/>
    <cs:effectRef idx="0"/>
    <cs:fontRef idx="minor">
      <a:sysClr val="windowText" lastClr="000000"/>
    </cs:fontRef>
    <cs:spPr>
      <a:ln>
        <a:round/>
      </a:ln>
    </cs:spPr>
  </cs:dataPointWireframe>
  <cs:dataTable>
    <cs:lnRef idx="1">
      <a:sysClr val="windowText" lastClr="000000">
        <a:tint val="75000"/>
      </a:sysClr>
    </cs:lnRef>
    <cs:fillRef idx="0"/>
    <cs:effectRef idx="0"/>
    <cs:fontRef idx="minor">
      <a:sysClr val="windowText" lastClr="000000"/>
    </cs:fontRef>
    <cs:spPr>
      <a:ln>
        <a:round/>
      </a:ln>
    </cs:spPr>
    <cs:defRPr sz="1000" kern="1200"/>
  </cs:dataTable>
  <cs:downBar>
    <cs:lnRef idx="1">
      <a:sysClr val="windowText" lastClr="000000"/>
    </cs:lnRef>
    <cs:fillRef idx="1" mods="ignoreCSTransforms">
      <cs:styleClr val="0">
        <a:shade val="25000"/>
      </cs:styleClr>
    </cs:fillRef>
    <cs:effectRef idx="0"/>
    <cs:fontRef idx="minor">
      <a:sysClr val="windowText" lastClr="000000"/>
    </cs:fontRef>
    <cs:spPr>
      <a:ln>
        <a:round/>
      </a:ln>
    </cs:spPr>
  </cs:downBar>
  <cs:dropLine>
    <cs:lnRef idx="1">
      <a:sysClr val="windowText" lastClr="000000"/>
    </cs:lnRef>
    <cs:fillRef idx="0"/>
    <cs:effectRef idx="0"/>
    <cs:fontRef idx="minor">
      <a:sysClr val="windowText" lastClr="000000"/>
    </cs:fontRef>
    <cs:spPr>
      <a:ln>
        <a:round/>
      </a:ln>
    </cs:spPr>
  </cs:dropLine>
  <cs:errorBar>
    <cs:lnRef idx="1">
      <a:sysClr val="windowText" lastClr="000000"/>
    </cs:lnRef>
    <cs:fillRef idx="1">
      <a:sysClr val="windowText" lastClr="000000"/>
    </cs:fillRef>
    <cs:effectRef idx="0"/>
    <cs:fontRef idx="minor">
      <a:sysClr val="windowText" lastClr="000000"/>
    </cs:fontRef>
    <cs:spPr>
      <a:ln>
        <a:round/>
      </a:ln>
    </cs:spPr>
  </cs:errorBar>
  <cs:floor>
    <cs:lnRef idx="1">
      <a:sysClr val="windowText" lastClr="000000">
        <a:tint val="75000"/>
      </a:sysClr>
    </cs:lnRef>
    <cs:fillRef idx="0"/>
    <cs:effectRef idx="0"/>
    <cs:fontRef idx="minor">
      <a:sysClr val="windowText" lastClr="000000"/>
    </cs:fontRef>
    <cs:spPr>
      <a:ln>
        <a:round/>
      </a:ln>
    </cs:spPr>
  </cs:floor>
  <cs:gridlineMajor>
    <cs:lnRef idx="1">
      <a:sysClr val="windowText" lastClr="000000">
        <a:tint val="75000"/>
      </a:sysClr>
    </cs:lnRef>
    <cs:fillRef idx="0"/>
    <cs:effectRef idx="0"/>
    <cs:fontRef idx="minor">
      <a:sysClr val="windowText" lastClr="000000"/>
    </cs:fontRef>
    <cs:spPr>
      <a:ln>
        <a:round/>
      </a:ln>
    </cs:spPr>
  </cs:gridlineMajor>
  <cs:gridlineMinor>
    <cs:lnRef idx="1">
      <a:sysClr val="windowText" lastClr="000000">
        <a:tint val="50000"/>
      </a:sysClr>
    </cs:lnRef>
    <cs:fillRef idx="0"/>
    <cs:effectRef idx="0"/>
    <cs:fontRef idx="minor">
      <a:sysClr val="windowText" lastClr="000000"/>
    </cs:fontRef>
    <cs:spPr>
      <a:ln>
        <a:round/>
      </a:ln>
    </cs:spPr>
  </cs:gridlineMinor>
  <cs:hiLoLine>
    <cs:lnRef idx="1">
      <a:sysClr val="windowText" lastClr="000000"/>
    </cs:lnRef>
    <cs:fillRef idx="0"/>
    <cs:effectRef idx="0"/>
    <cs:fontRef idx="minor">
      <a:sysClr val="windowText" lastClr="000000"/>
    </cs:fontRef>
    <cs:spPr>
      <a:ln>
        <a:round/>
      </a:ln>
    </cs:spPr>
  </cs:hiLoLine>
  <cs:leaderLine>
    <cs:lnRef idx="1">
      <a:sysClr val="windowText" lastClr="000000"/>
    </cs:lnRef>
    <cs:fillRef idx="0"/>
    <cs:effectRef idx="0"/>
    <cs:fontRef idx="minor">
      <a:sysClr val="windowText" lastClr="000000"/>
    </cs:fontRef>
    <cs:spPr>
      <a:ln>
        <a:round/>
      </a:ln>
    </cs:spPr>
  </cs:leaderLine>
  <cs:legend>
    <cs:lnRef idx="0"/>
    <cs:fillRef idx="0"/>
    <cs:effectRef idx="0"/>
    <cs:fontRef idx="minor">
      <a:sysClr val="windowText" lastClr="000000"/>
    </cs:fontRef>
    <cs:defRPr sz="1000" kern="1200"/>
  </cs:legend>
  <cs:plotArea mods="allowNoFillOverride allowNoLineOverride">
    <cs:lnRef idx="0"/>
    <cs:fillRef idx="1">
      <a:sysClr val="window" lastClr="FFFFFF"/>
    </cs:fillRef>
    <cs:effectRef idx="0"/>
    <cs:fontRef idx="minor">
      <a:sysClr val="windowText" lastClr="000000"/>
    </cs:fontRef>
  </cs:plotArea>
  <cs:plotArea3D>
    <cs:lnRef idx="0"/>
    <cs:fillRef idx="0"/>
    <cs:effectRef idx="0"/>
    <cs:fontRef idx="minor">
      <a:sysClr val="windowText" lastClr="000000"/>
    </cs:fontRef>
  </cs:plotArea3D>
  <cs:seriesAxis>
    <cs:lnRef idx="1">
      <a:sysClr val="windowText" lastClr="000000">
        <a:tint val="75000"/>
      </a:sysClr>
    </cs:lnRef>
    <cs:fillRef idx="0"/>
    <cs:effectRef idx="0"/>
    <cs:fontRef idx="minor">
      <a:sysClr val="windowText" lastClr="000000"/>
    </cs:fontRef>
    <cs:spPr>
      <a:ln>
        <a:round/>
      </a:ln>
    </cs:spPr>
    <cs:defRPr sz="1000" kern="1200"/>
  </cs:seriesAxis>
  <cs:seriesLine>
    <cs:lnRef idx="1">
      <a:sysClr val="windowText" lastClr="000000"/>
    </cs:lnRef>
    <cs:fillRef idx="0"/>
    <cs:effectRef idx="0"/>
    <cs:fontRef idx="minor">
      <a:sysClr val="windowText" lastClr="000000"/>
    </cs:fontRef>
    <cs:spPr>
      <a:ln>
        <a:round/>
      </a:ln>
    </cs:spPr>
  </cs:seriesLine>
  <cs:title>
    <cs:lnRef idx="0"/>
    <cs:fillRef idx="0"/>
    <cs:effectRef idx="0"/>
    <cs:fontRef idx="minor">
      <a:sysClr val="windowText" lastClr="000000"/>
    </cs:fontRef>
    <cs:defRPr sz="1800" b="1" kern="1200"/>
  </cs:title>
  <cs:trendline>
    <cs:lnRef idx="1">
      <a:sysClr val="windowText" lastClr="000000"/>
    </cs:lnRef>
    <cs:fillRef idx="0"/>
    <cs:effectRef idx="0"/>
    <cs:fontRef idx="minor">
      <a:sysClr val="windowText" lastClr="000000"/>
    </cs:fontRef>
    <cs:spPr>
      <a:ln cap="rnd">
        <a:round/>
      </a:ln>
    </cs:spPr>
  </cs:trendline>
  <cs:trendlineLabel>
    <cs:lnRef idx="0"/>
    <cs:fillRef idx="0"/>
    <cs:effectRef idx="0"/>
    <cs:fontRef idx="minor">
      <a:sysClr val="windowText" lastClr="000000"/>
    </cs:fontRef>
    <cs:defRPr sz="1000" kern="1200"/>
  </cs:trendlineLabel>
  <cs:upBar>
    <cs:lnRef idx="1">
      <a:sysClr val="windowText" lastClr="000000"/>
    </cs:lnRef>
    <cs:fillRef idx="1" mods="ignoreCSTransforms">
      <cs:styleClr val="0">
        <a:tint val="25000"/>
      </cs:styleClr>
    </cs:fillRef>
    <cs:effectRef idx="0"/>
    <cs:fontRef idx="minor">
      <a:sysClr val="windowText" lastClr="000000"/>
    </cs:fontRef>
    <cs:spPr>
      <a:ln>
        <a:round/>
      </a:ln>
    </cs:spPr>
  </cs:upBar>
  <cs:valueAxis>
    <cs:lnRef idx="1">
      <a:sysClr val="windowText" lastClr="000000">
        <a:tint val="75000"/>
      </a:sysClr>
    </cs:lnRef>
    <cs:fillRef idx="0"/>
    <cs:effectRef idx="0"/>
    <cs:fontRef idx="minor">
      <a:sysClr val="windowText" lastClr="000000"/>
    </cs:fontRef>
    <cs:spPr>
      <a:ln>
        <a:round/>
      </a:ln>
    </cs:spPr>
    <cs:defRPr sz="1000" kern="1200"/>
  </cs:valueAxis>
  <cs:wall>
    <cs:lnRef idx="0"/>
    <cs:fillRef idx="0"/>
    <cs:effectRef idx="0"/>
    <cs:fontRef idx="minor">
      <a:sysClr val="windowText" lastClr="000000"/>
    </cs:fontRef>
  </cs:wall>
</cs:chartStyle>
</file>

<file path=word/charts/style41.xml><?xml version="1.0" encoding="utf-8"?>
<cs:chartStyle xmlns:cs="http://schemas.microsoft.com/office/drawing/2012/chartStyle" xmlns:a="http://schemas.openxmlformats.org/drawingml/2006/main" id="107">
  <cs:axisTitle>
    <cs:lnRef idx="0"/>
    <cs:fillRef idx="0"/>
    <cs:effectRef idx="0"/>
    <cs:fontRef idx="minor">
      <a:sysClr val="windowText" lastClr="000000"/>
    </cs:fontRef>
    <cs:defRPr sz="1000" b="1" kern="1200"/>
  </cs:axisTitle>
  <cs:categoryAxis>
    <cs:lnRef idx="1">
      <a:sysClr val="windowText" lastClr="000000">
        <a:tint val="75000"/>
      </a:sysClr>
    </cs:lnRef>
    <cs:fillRef idx="0"/>
    <cs:effectRef idx="0"/>
    <cs:fontRef idx="minor">
      <a:sysClr val="windowText" lastClr="000000"/>
    </cs:fontRef>
    <cs:spPr>
      <a:ln>
        <a:round/>
      </a:ln>
    </cs:spPr>
    <cs:defRPr sz="1000" kern="1200"/>
  </cs:categoryAxis>
  <cs:chartArea mods="allowNoFillOverride allowNoLineOverride">
    <cs:lnRef idx="1">
      <a:sysClr val="windowText" lastClr="000000">
        <a:tint val="75000"/>
      </a:sysClr>
    </cs:lnRef>
    <cs:fillRef idx="1">
      <a:sysClr val="window" lastClr="FFFFFF"/>
    </cs:fillRef>
    <cs:effectRef idx="0"/>
    <cs:fontRef idx="minor">
      <a:sysClr val="windowText" lastClr="000000"/>
    </cs:fontRef>
    <cs:spPr>
      <a:ln>
        <a:round/>
      </a:ln>
    </cs:spPr>
    <cs:defRPr sz="1000" kern="1200"/>
  </cs:chartArea>
  <cs:dataLabel>
    <cs:lnRef idx="0"/>
    <cs:fillRef idx="0"/>
    <cs:effectRef idx="0"/>
    <cs:fontRef idx="minor">
      <a:sysClr val="windowText" lastClr="000000"/>
    </cs:fontRef>
    <cs:defRPr sz="1000" kern="1200"/>
  </cs:dataLabel>
  <cs:dataLabelCallout>
    <cs:lnRef idx="0"/>
    <cs:fillRef idx="0"/>
    <cs:effectRef idx="0"/>
    <cs:fontRef idx="minor">
      <a:sysClr val="windowText" lastClr="000000"/>
    </cs:fontRef>
    <cs:spPr>
      <a:solidFill>
        <a:sysClr val="window" lastClr="FFFFFF"/>
      </a:solidFill>
      <a:ln>
        <a:solidFill>
          <a:sysClr val="windowText" lastClr="000000">
            <a:lumMod val="65000"/>
            <a:lumOff val="35000"/>
          </a:sysClr>
        </a:solidFill>
      </a:ln>
    </cs:spPr>
    <cs:defRPr sz="1000" kern="1200"/>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1">
      <cs:styleClr val="auto"/>
    </cs:lnRef>
    <cs:lineWidthScale>3</cs:lineWidthScale>
    <cs:fillRef idx="0"/>
    <cs:effectRef idx="0"/>
    <cs:fontRef idx="minor">
      <a:sysClr val="windowText" lastClr="000000"/>
    </cs:fontRef>
    <cs:spPr>
      <a:ln cap="rnd">
        <a:round/>
      </a:ln>
    </cs:spPr>
  </cs:dataPointLine>
  <cs:dataPointMarker>
    <cs:lnRef idx="1">
      <cs:styleClr val="auto"/>
    </cs:lnRef>
    <cs:fillRef idx="1">
      <cs:styleClr val="auto"/>
    </cs:fillRef>
    <cs:effectRef idx="0"/>
    <cs:fontRef idx="minor">
      <a:sysClr val="windowText" lastClr="000000"/>
    </cs:fontRef>
    <cs:spPr>
      <a:ln>
        <a:round/>
      </a:ln>
    </cs:spPr>
  </cs:dataPointMarker>
  <cs:dataPointMarkerLayout/>
  <cs:dataPointWireframe>
    <cs:lnRef idx="1">
      <cs:styleClr val="auto"/>
    </cs:lnRef>
    <cs:fillRef idx="0"/>
    <cs:effectRef idx="0"/>
    <cs:fontRef idx="minor">
      <a:sysClr val="windowText" lastClr="000000"/>
    </cs:fontRef>
    <cs:spPr>
      <a:ln>
        <a:round/>
      </a:ln>
    </cs:spPr>
  </cs:dataPointWireframe>
  <cs:dataTable>
    <cs:lnRef idx="1">
      <a:sysClr val="windowText" lastClr="000000">
        <a:tint val="75000"/>
      </a:sysClr>
    </cs:lnRef>
    <cs:fillRef idx="0"/>
    <cs:effectRef idx="0"/>
    <cs:fontRef idx="minor">
      <a:sysClr val="windowText" lastClr="000000"/>
    </cs:fontRef>
    <cs:spPr>
      <a:ln>
        <a:round/>
      </a:ln>
    </cs:spPr>
    <cs:defRPr sz="1000" kern="1200"/>
  </cs:dataTable>
  <cs:downBar>
    <cs:lnRef idx="1">
      <a:sysClr val="windowText" lastClr="000000"/>
    </cs:lnRef>
    <cs:fillRef idx="1" mods="ignoreCSTransforms">
      <cs:styleClr val="0">
        <a:shade val="25000"/>
      </cs:styleClr>
    </cs:fillRef>
    <cs:effectRef idx="0"/>
    <cs:fontRef idx="minor">
      <a:sysClr val="windowText" lastClr="000000"/>
    </cs:fontRef>
    <cs:spPr>
      <a:ln>
        <a:round/>
      </a:ln>
    </cs:spPr>
  </cs:downBar>
  <cs:dropLine>
    <cs:lnRef idx="1">
      <a:sysClr val="windowText" lastClr="000000"/>
    </cs:lnRef>
    <cs:fillRef idx="0"/>
    <cs:effectRef idx="0"/>
    <cs:fontRef idx="minor">
      <a:sysClr val="windowText" lastClr="000000"/>
    </cs:fontRef>
    <cs:spPr>
      <a:ln>
        <a:round/>
      </a:ln>
    </cs:spPr>
  </cs:dropLine>
  <cs:errorBar>
    <cs:lnRef idx="1">
      <a:sysClr val="windowText" lastClr="000000"/>
    </cs:lnRef>
    <cs:fillRef idx="1">
      <a:sysClr val="windowText" lastClr="000000"/>
    </cs:fillRef>
    <cs:effectRef idx="0"/>
    <cs:fontRef idx="minor">
      <a:sysClr val="windowText" lastClr="000000"/>
    </cs:fontRef>
    <cs:spPr>
      <a:ln>
        <a:round/>
      </a:ln>
    </cs:spPr>
  </cs:errorBar>
  <cs:floor>
    <cs:lnRef idx="1">
      <a:sysClr val="windowText" lastClr="000000">
        <a:tint val="75000"/>
      </a:sysClr>
    </cs:lnRef>
    <cs:fillRef idx="0"/>
    <cs:effectRef idx="0"/>
    <cs:fontRef idx="minor">
      <a:sysClr val="windowText" lastClr="000000"/>
    </cs:fontRef>
    <cs:spPr>
      <a:ln>
        <a:round/>
      </a:ln>
    </cs:spPr>
  </cs:floor>
  <cs:gridlineMajor>
    <cs:lnRef idx="1">
      <a:sysClr val="windowText" lastClr="000000">
        <a:tint val="75000"/>
      </a:sysClr>
    </cs:lnRef>
    <cs:fillRef idx="0"/>
    <cs:effectRef idx="0"/>
    <cs:fontRef idx="minor">
      <a:sysClr val="windowText" lastClr="000000"/>
    </cs:fontRef>
    <cs:spPr>
      <a:ln>
        <a:round/>
      </a:ln>
    </cs:spPr>
  </cs:gridlineMajor>
  <cs:gridlineMinor>
    <cs:lnRef idx="1">
      <a:sysClr val="windowText" lastClr="000000">
        <a:tint val="50000"/>
      </a:sysClr>
    </cs:lnRef>
    <cs:fillRef idx="0"/>
    <cs:effectRef idx="0"/>
    <cs:fontRef idx="minor">
      <a:sysClr val="windowText" lastClr="000000"/>
    </cs:fontRef>
    <cs:spPr>
      <a:ln>
        <a:round/>
      </a:ln>
    </cs:spPr>
  </cs:gridlineMinor>
  <cs:hiLoLine>
    <cs:lnRef idx="1">
      <a:sysClr val="windowText" lastClr="000000"/>
    </cs:lnRef>
    <cs:fillRef idx="0"/>
    <cs:effectRef idx="0"/>
    <cs:fontRef idx="minor">
      <a:sysClr val="windowText" lastClr="000000"/>
    </cs:fontRef>
    <cs:spPr>
      <a:ln>
        <a:round/>
      </a:ln>
    </cs:spPr>
  </cs:hiLoLine>
  <cs:leaderLine>
    <cs:lnRef idx="1">
      <a:sysClr val="windowText" lastClr="000000"/>
    </cs:lnRef>
    <cs:fillRef idx="0"/>
    <cs:effectRef idx="0"/>
    <cs:fontRef idx="minor">
      <a:sysClr val="windowText" lastClr="000000"/>
    </cs:fontRef>
    <cs:spPr>
      <a:ln>
        <a:round/>
      </a:ln>
    </cs:spPr>
  </cs:leaderLine>
  <cs:legend>
    <cs:lnRef idx="0"/>
    <cs:fillRef idx="0"/>
    <cs:effectRef idx="0"/>
    <cs:fontRef idx="minor">
      <a:sysClr val="windowText" lastClr="000000"/>
    </cs:fontRef>
    <cs:defRPr sz="1000" kern="1200"/>
  </cs:legend>
  <cs:plotArea mods="allowNoFillOverride allowNoLineOverride">
    <cs:lnRef idx="0"/>
    <cs:fillRef idx="1">
      <a:sysClr val="window" lastClr="FFFFFF"/>
    </cs:fillRef>
    <cs:effectRef idx="0"/>
    <cs:fontRef idx="minor">
      <a:sysClr val="windowText" lastClr="000000"/>
    </cs:fontRef>
  </cs:plotArea>
  <cs:plotArea3D>
    <cs:lnRef idx="0"/>
    <cs:fillRef idx="0"/>
    <cs:effectRef idx="0"/>
    <cs:fontRef idx="minor">
      <a:sysClr val="windowText" lastClr="000000"/>
    </cs:fontRef>
  </cs:plotArea3D>
  <cs:seriesAxis>
    <cs:lnRef idx="1">
      <a:sysClr val="windowText" lastClr="000000">
        <a:tint val="75000"/>
      </a:sysClr>
    </cs:lnRef>
    <cs:fillRef idx="0"/>
    <cs:effectRef idx="0"/>
    <cs:fontRef idx="minor">
      <a:sysClr val="windowText" lastClr="000000"/>
    </cs:fontRef>
    <cs:spPr>
      <a:ln>
        <a:round/>
      </a:ln>
    </cs:spPr>
    <cs:defRPr sz="1000" kern="1200"/>
  </cs:seriesAxis>
  <cs:seriesLine>
    <cs:lnRef idx="1">
      <a:sysClr val="windowText" lastClr="000000"/>
    </cs:lnRef>
    <cs:fillRef idx="0"/>
    <cs:effectRef idx="0"/>
    <cs:fontRef idx="minor">
      <a:sysClr val="windowText" lastClr="000000"/>
    </cs:fontRef>
    <cs:spPr>
      <a:ln>
        <a:round/>
      </a:ln>
    </cs:spPr>
  </cs:seriesLine>
  <cs:title>
    <cs:lnRef idx="0"/>
    <cs:fillRef idx="0"/>
    <cs:effectRef idx="0"/>
    <cs:fontRef idx="minor">
      <a:sysClr val="windowText" lastClr="000000"/>
    </cs:fontRef>
    <cs:defRPr sz="1800" b="1" kern="1200"/>
  </cs:title>
  <cs:trendline>
    <cs:lnRef idx="1">
      <a:sysClr val="windowText" lastClr="000000"/>
    </cs:lnRef>
    <cs:fillRef idx="0"/>
    <cs:effectRef idx="0"/>
    <cs:fontRef idx="minor">
      <a:sysClr val="windowText" lastClr="000000"/>
    </cs:fontRef>
    <cs:spPr>
      <a:ln cap="rnd">
        <a:round/>
      </a:ln>
    </cs:spPr>
  </cs:trendline>
  <cs:trendlineLabel>
    <cs:lnRef idx="0"/>
    <cs:fillRef idx="0"/>
    <cs:effectRef idx="0"/>
    <cs:fontRef idx="minor">
      <a:sysClr val="windowText" lastClr="000000"/>
    </cs:fontRef>
    <cs:defRPr sz="1000" kern="1200"/>
  </cs:trendlineLabel>
  <cs:upBar>
    <cs:lnRef idx="1">
      <a:sysClr val="windowText" lastClr="000000"/>
    </cs:lnRef>
    <cs:fillRef idx="1" mods="ignoreCSTransforms">
      <cs:styleClr val="0">
        <a:tint val="25000"/>
      </cs:styleClr>
    </cs:fillRef>
    <cs:effectRef idx="0"/>
    <cs:fontRef idx="minor">
      <a:sysClr val="windowText" lastClr="000000"/>
    </cs:fontRef>
    <cs:spPr>
      <a:ln>
        <a:round/>
      </a:ln>
    </cs:spPr>
  </cs:upBar>
  <cs:valueAxis>
    <cs:lnRef idx="1">
      <a:sysClr val="windowText" lastClr="000000">
        <a:tint val="75000"/>
      </a:sysClr>
    </cs:lnRef>
    <cs:fillRef idx="0"/>
    <cs:effectRef idx="0"/>
    <cs:fontRef idx="minor">
      <a:sysClr val="windowText" lastClr="000000"/>
    </cs:fontRef>
    <cs:spPr>
      <a:ln>
        <a:round/>
      </a:ln>
    </cs:spPr>
    <cs:defRPr sz="1000" kern="1200"/>
  </cs:valueAxis>
  <cs:wall>
    <cs:lnRef idx="0"/>
    <cs:fillRef idx="0"/>
    <cs:effectRef idx="0"/>
    <cs:fontRef idx="minor">
      <a:sysClr val="windowText" lastClr="000000"/>
    </cs:fontRef>
  </cs:wall>
</cs:chartStyle>
</file>

<file path=word/charts/style42.xml><?xml version="1.0" encoding="utf-8"?>
<cs:chartStyle xmlns:cs="http://schemas.microsoft.com/office/drawing/2012/chartStyle" xmlns:a="http://schemas.openxmlformats.org/drawingml/2006/main" id="107">
  <cs:axisTitle>
    <cs:lnRef idx="0"/>
    <cs:fillRef idx="0"/>
    <cs:effectRef idx="0"/>
    <cs:fontRef idx="minor">
      <a:sysClr val="windowText" lastClr="000000"/>
    </cs:fontRef>
    <cs:defRPr sz="1000" b="1" kern="1200"/>
  </cs:axisTitle>
  <cs:categoryAxis>
    <cs:lnRef idx="1">
      <a:sysClr val="windowText" lastClr="000000">
        <a:tint val="75000"/>
      </a:sysClr>
    </cs:lnRef>
    <cs:fillRef idx="0"/>
    <cs:effectRef idx="0"/>
    <cs:fontRef idx="minor">
      <a:sysClr val="windowText" lastClr="000000"/>
    </cs:fontRef>
    <cs:spPr>
      <a:ln>
        <a:round/>
      </a:ln>
    </cs:spPr>
    <cs:defRPr sz="1000" kern="1200"/>
  </cs:categoryAxis>
  <cs:chartArea mods="allowNoFillOverride allowNoLineOverride">
    <cs:lnRef idx="1">
      <a:sysClr val="windowText" lastClr="000000">
        <a:tint val="75000"/>
      </a:sysClr>
    </cs:lnRef>
    <cs:fillRef idx="1">
      <a:sysClr val="window" lastClr="FFFFFF"/>
    </cs:fillRef>
    <cs:effectRef idx="0"/>
    <cs:fontRef idx="minor">
      <a:sysClr val="windowText" lastClr="000000"/>
    </cs:fontRef>
    <cs:spPr>
      <a:ln>
        <a:round/>
      </a:ln>
    </cs:spPr>
    <cs:defRPr sz="1000" kern="1200"/>
  </cs:chartArea>
  <cs:dataLabel>
    <cs:lnRef idx="0"/>
    <cs:fillRef idx="0"/>
    <cs:effectRef idx="0"/>
    <cs:fontRef idx="minor">
      <a:sysClr val="windowText" lastClr="000000"/>
    </cs:fontRef>
    <cs:defRPr sz="1000" kern="1200"/>
  </cs:dataLabel>
  <cs:dataLabelCallout>
    <cs:lnRef idx="0"/>
    <cs:fillRef idx="0"/>
    <cs:effectRef idx="0"/>
    <cs:fontRef idx="minor">
      <a:sysClr val="windowText" lastClr="000000"/>
    </cs:fontRef>
    <cs:spPr>
      <a:solidFill>
        <a:sysClr val="window" lastClr="FFFFFF"/>
      </a:solidFill>
      <a:ln>
        <a:solidFill>
          <a:sysClr val="windowText" lastClr="000000">
            <a:lumMod val="65000"/>
            <a:lumOff val="35000"/>
          </a:sysClr>
        </a:solidFill>
      </a:ln>
    </cs:spPr>
    <cs:defRPr sz="1000" kern="1200"/>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1">
      <cs:styleClr val="auto"/>
    </cs:lnRef>
    <cs:lineWidthScale>3</cs:lineWidthScale>
    <cs:fillRef idx="0"/>
    <cs:effectRef idx="0"/>
    <cs:fontRef idx="minor">
      <a:sysClr val="windowText" lastClr="000000"/>
    </cs:fontRef>
    <cs:spPr>
      <a:ln cap="rnd">
        <a:round/>
      </a:ln>
    </cs:spPr>
  </cs:dataPointLine>
  <cs:dataPointMarker>
    <cs:lnRef idx="1">
      <cs:styleClr val="auto"/>
    </cs:lnRef>
    <cs:fillRef idx="1">
      <cs:styleClr val="auto"/>
    </cs:fillRef>
    <cs:effectRef idx="0"/>
    <cs:fontRef idx="minor">
      <a:sysClr val="windowText" lastClr="000000"/>
    </cs:fontRef>
    <cs:spPr>
      <a:ln>
        <a:round/>
      </a:ln>
    </cs:spPr>
  </cs:dataPointMarker>
  <cs:dataPointMarkerLayout/>
  <cs:dataPointWireframe>
    <cs:lnRef idx="1">
      <cs:styleClr val="auto"/>
    </cs:lnRef>
    <cs:fillRef idx="0"/>
    <cs:effectRef idx="0"/>
    <cs:fontRef idx="minor">
      <a:sysClr val="windowText" lastClr="000000"/>
    </cs:fontRef>
    <cs:spPr>
      <a:ln>
        <a:round/>
      </a:ln>
    </cs:spPr>
  </cs:dataPointWireframe>
  <cs:dataTable>
    <cs:lnRef idx="1">
      <a:sysClr val="windowText" lastClr="000000">
        <a:tint val="75000"/>
      </a:sysClr>
    </cs:lnRef>
    <cs:fillRef idx="0"/>
    <cs:effectRef idx="0"/>
    <cs:fontRef idx="minor">
      <a:sysClr val="windowText" lastClr="000000"/>
    </cs:fontRef>
    <cs:spPr>
      <a:ln>
        <a:round/>
      </a:ln>
    </cs:spPr>
    <cs:defRPr sz="1000" kern="1200"/>
  </cs:dataTable>
  <cs:downBar>
    <cs:lnRef idx="1">
      <a:sysClr val="windowText" lastClr="000000"/>
    </cs:lnRef>
    <cs:fillRef idx="1" mods="ignoreCSTransforms">
      <cs:styleClr val="0">
        <a:shade val="25000"/>
      </cs:styleClr>
    </cs:fillRef>
    <cs:effectRef idx="0"/>
    <cs:fontRef idx="minor">
      <a:sysClr val="windowText" lastClr="000000"/>
    </cs:fontRef>
    <cs:spPr>
      <a:ln>
        <a:round/>
      </a:ln>
    </cs:spPr>
  </cs:downBar>
  <cs:dropLine>
    <cs:lnRef idx="1">
      <a:sysClr val="windowText" lastClr="000000"/>
    </cs:lnRef>
    <cs:fillRef idx="0"/>
    <cs:effectRef idx="0"/>
    <cs:fontRef idx="minor">
      <a:sysClr val="windowText" lastClr="000000"/>
    </cs:fontRef>
    <cs:spPr>
      <a:ln>
        <a:round/>
      </a:ln>
    </cs:spPr>
  </cs:dropLine>
  <cs:errorBar>
    <cs:lnRef idx="1">
      <a:sysClr val="windowText" lastClr="000000"/>
    </cs:lnRef>
    <cs:fillRef idx="1">
      <a:sysClr val="windowText" lastClr="000000"/>
    </cs:fillRef>
    <cs:effectRef idx="0"/>
    <cs:fontRef idx="minor">
      <a:sysClr val="windowText" lastClr="000000"/>
    </cs:fontRef>
    <cs:spPr>
      <a:ln>
        <a:round/>
      </a:ln>
    </cs:spPr>
  </cs:errorBar>
  <cs:floor>
    <cs:lnRef idx="1">
      <a:sysClr val="windowText" lastClr="000000">
        <a:tint val="75000"/>
      </a:sysClr>
    </cs:lnRef>
    <cs:fillRef idx="0"/>
    <cs:effectRef idx="0"/>
    <cs:fontRef idx="minor">
      <a:sysClr val="windowText" lastClr="000000"/>
    </cs:fontRef>
    <cs:spPr>
      <a:ln>
        <a:round/>
      </a:ln>
    </cs:spPr>
  </cs:floor>
  <cs:gridlineMajor>
    <cs:lnRef idx="1">
      <a:sysClr val="windowText" lastClr="000000">
        <a:tint val="75000"/>
      </a:sysClr>
    </cs:lnRef>
    <cs:fillRef idx="0"/>
    <cs:effectRef idx="0"/>
    <cs:fontRef idx="minor">
      <a:sysClr val="windowText" lastClr="000000"/>
    </cs:fontRef>
    <cs:spPr>
      <a:ln>
        <a:round/>
      </a:ln>
    </cs:spPr>
  </cs:gridlineMajor>
  <cs:gridlineMinor>
    <cs:lnRef idx="1">
      <a:sysClr val="windowText" lastClr="000000">
        <a:tint val="50000"/>
      </a:sysClr>
    </cs:lnRef>
    <cs:fillRef idx="0"/>
    <cs:effectRef idx="0"/>
    <cs:fontRef idx="minor">
      <a:sysClr val="windowText" lastClr="000000"/>
    </cs:fontRef>
    <cs:spPr>
      <a:ln>
        <a:round/>
      </a:ln>
    </cs:spPr>
  </cs:gridlineMinor>
  <cs:hiLoLine>
    <cs:lnRef idx="1">
      <a:sysClr val="windowText" lastClr="000000"/>
    </cs:lnRef>
    <cs:fillRef idx="0"/>
    <cs:effectRef idx="0"/>
    <cs:fontRef idx="minor">
      <a:sysClr val="windowText" lastClr="000000"/>
    </cs:fontRef>
    <cs:spPr>
      <a:ln>
        <a:round/>
      </a:ln>
    </cs:spPr>
  </cs:hiLoLine>
  <cs:leaderLine>
    <cs:lnRef idx="1">
      <a:sysClr val="windowText" lastClr="000000"/>
    </cs:lnRef>
    <cs:fillRef idx="0"/>
    <cs:effectRef idx="0"/>
    <cs:fontRef idx="minor">
      <a:sysClr val="windowText" lastClr="000000"/>
    </cs:fontRef>
    <cs:spPr>
      <a:ln>
        <a:round/>
      </a:ln>
    </cs:spPr>
  </cs:leaderLine>
  <cs:legend>
    <cs:lnRef idx="0"/>
    <cs:fillRef idx="0"/>
    <cs:effectRef idx="0"/>
    <cs:fontRef idx="minor">
      <a:sysClr val="windowText" lastClr="000000"/>
    </cs:fontRef>
    <cs:defRPr sz="1000" kern="1200"/>
  </cs:legend>
  <cs:plotArea mods="allowNoFillOverride allowNoLineOverride">
    <cs:lnRef idx="0"/>
    <cs:fillRef idx="1">
      <a:sysClr val="window" lastClr="FFFFFF"/>
    </cs:fillRef>
    <cs:effectRef idx="0"/>
    <cs:fontRef idx="minor">
      <a:sysClr val="windowText" lastClr="000000"/>
    </cs:fontRef>
  </cs:plotArea>
  <cs:plotArea3D>
    <cs:lnRef idx="0"/>
    <cs:fillRef idx="0"/>
    <cs:effectRef idx="0"/>
    <cs:fontRef idx="minor">
      <a:sysClr val="windowText" lastClr="000000"/>
    </cs:fontRef>
  </cs:plotArea3D>
  <cs:seriesAxis>
    <cs:lnRef idx="1">
      <a:sysClr val="windowText" lastClr="000000">
        <a:tint val="75000"/>
      </a:sysClr>
    </cs:lnRef>
    <cs:fillRef idx="0"/>
    <cs:effectRef idx="0"/>
    <cs:fontRef idx="minor">
      <a:sysClr val="windowText" lastClr="000000"/>
    </cs:fontRef>
    <cs:spPr>
      <a:ln>
        <a:round/>
      </a:ln>
    </cs:spPr>
    <cs:defRPr sz="1000" kern="1200"/>
  </cs:seriesAxis>
  <cs:seriesLine>
    <cs:lnRef idx="1">
      <a:sysClr val="windowText" lastClr="000000"/>
    </cs:lnRef>
    <cs:fillRef idx="0"/>
    <cs:effectRef idx="0"/>
    <cs:fontRef idx="minor">
      <a:sysClr val="windowText" lastClr="000000"/>
    </cs:fontRef>
    <cs:spPr>
      <a:ln>
        <a:round/>
      </a:ln>
    </cs:spPr>
  </cs:seriesLine>
  <cs:title>
    <cs:lnRef idx="0"/>
    <cs:fillRef idx="0"/>
    <cs:effectRef idx="0"/>
    <cs:fontRef idx="minor">
      <a:sysClr val="windowText" lastClr="000000"/>
    </cs:fontRef>
    <cs:defRPr sz="1800" b="1" kern="1200"/>
  </cs:title>
  <cs:trendline>
    <cs:lnRef idx="1">
      <a:sysClr val="windowText" lastClr="000000"/>
    </cs:lnRef>
    <cs:fillRef idx="0"/>
    <cs:effectRef idx="0"/>
    <cs:fontRef idx="minor">
      <a:sysClr val="windowText" lastClr="000000"/>
    </cs:fontRef>
    <cs:spPr>
      <a:ln cap="rnd">
        <a:round/>
      </a:ln>
    </cs:spPr>
  </cs:trendline>
  <cs:trendlineLabel>
    <cs:lnRef idx="0"/>
    <cs:fillRef idx="0"/>
    <cs:effectRef idx="0"/>
    <cs:fontRef idx="minor">
      <a:sysClr val="windowText" lastClr="000000"/>
    </cs:fontRef>
    <cs:defRPr sz="1000" kern="1200"/>
  </cs:trendlineLabel>
  <cs:upBar>
    <cs:lnRef idx="1">
      <a:sysClr val="windowText" lastClr="000000"/>
    </cs:lnRef>
    <cs:fillRef idx="1" mods="ignoreCSTransforms">
      <cs:styleClr val="0">
        <a:tint val="25000"/>
      </cs:styleClr>
    </cs:fillRef>
    <cs:effectRef idx="0"/>
    <cs:fontRef idx="minor">
      <a:sysClr val="windowText" lastClr="000000"/>
    </cs:fontRef>
    <cs:spPr>
      <a:ln>
        <a:round/>
      </a:ln>
    </cs:spPr>
  </cs:upBar>
  <cs:valueAxis>
    <cs:lnRef idx="1">
      <a:sysClr val="windowText" lastClr="000000">
        <a:tint val="75000"/>
      </a:sysClr>
    </cs:lnRef>
    <cs:fillRef idx="0"/>
    <cs:effectRef idx="0"/>
    <cs:fontRef idx="minor">
      <a:sysClr val="windowText" lastClr="000000"/>
    </cs:fontRef>
    <cs:spPr>
      <a:ln>
        <a:round/>
      </a:ln>
    </cs:spPr>
    <cs:defRPr sz="1000" kern="1200"/>
  </cs:valueAxis>
  <cs:wall>
    <cs:lnRef idx="0"/>
    <cs:fillRef idx="0"/>
    <cs:effectRef idx="0"/>
    <cs:fontRef idx="minor">
      <a:sysClr val="windowText" lastClr="000000"/>
    </cs:fontRef>
  </cs:wall>
</cs:chartStyle>
</file>

<file path=word/charts/style43.xml><?xml version="1.0" encoding="utf-8"?>
<cs:chartStyle xmlns:cs="http://schemas.microsoft.com/office/drawing/2012/chartStyle" xmlns:a="http://schemas.openxmlformats.org/drawingml/2006/main" id="107">
  <cs:axisTitle>
    <cs:lnRef idx="0"/>
    <cs:fillRef idx="0"/>
    <cs:effectRef idx="0"/>
    <cs:fontRef idx="minor">
      <a:sysClr val="windowText" lastClr="000000"/>
    </cs:fontRef>
    <cs:defRPr sz="1000" b="1" kern="1200"/>
  </cs:axisTitle>
  <cs:categoryAxis>
    <cs:lnRef idx="1">
      <a:sysClr val="windowText" lastClr="000000">
        <a:tint val="75000"/>
      </a:sysClr>
    </cs:lnRef>
    <cs:fillRef idx="0"/>
    <cs:effectRef idx="0"/>
    <cs:fontRef idx="minor">
      <a:sysClr val="windowText" lastClr="000000"/>
    </cs:fontRef>
    <cs:spPr>
      <a:ln>
        <a:round/>
      </a:ln>
    </cs:spPr>
    <cs:defRPr sz="1000" kern="1200"/>
  </cs:categoryAxis>
  <cs:chartArea mods="allowNoFillOverride allowNoLineOverride">
    <cs:lnRef idx="1">
      <a:sysClr val="windowText" lastClr="000000">
        <a:tint val="75000"/>
      </a:sysClr>
    </cs:lnRef>
    <cs:fillRef idx="1">
      <a:sysClr val="window" lastClr="FFFFFF"/>
    </cs:fillRef>
    <cs:effectRef idx="0"/>
    <cs:fontRef idx="minor">
      <a:sysClr val="windowText" lastClr="000000"/>
    </cs:fontRef>
    <cs:spPr>
      <a:ln>
        <a:round/>
      </a:ln>
    </cs:spPr>
    <cs:defRPr sz="1000" kern="1200"/>
  </cs:chartArea>
  <cs:dataLabel>
    <cs:lnRef idx="0"/>
    <cs:fillRef idx="0"/>
    <cs:effectRef idx="0"/>
    <cs:fontRef idx="minor">
      <a:sysClr val="windowText" lastClr="000000"/>
    </cs:fontRef>
    <cs:defRPr sz="1000" kern="1200"/>
  </cs:dataLabel>
  <cs:dataLabelCallout>
    <cs:lnRef idx="0"/>
    <cs:fillRef idx="0"/>
    <cs:effectRef idx="0"/>
    <cs:fontRef idx="minor">
      <a:sysClr val="windowText" lastClr="000000"/>
    </cs:fontRef>
    <cs:spPr>
      <a:solidFill>
        <a:sysClr val="window" lastClr="FFFFFF"/>
      </a:solidFill>
      <a:ln>
        <a:solidFill>
          <a:sysClr val="windowText" lastClr="000000">
            <a:lumMod val="65000"/>
            <a:lumOff val="35000"/>
          </a:sysClr>
        </a:solidFill>
      </a:ln>
    </cs:spPr>
    <cs:defRPr sz="1000" kern="1200"/>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1">
      <cs:styleClr val="auto"/>
    </cs:lnRef>
    <cs:lineWidthScale>3</cs:lineWidthScale>
    <cs:fillRef idx="0"/>
    <cs:effectRef idx="0"/>
    <cs:fontRef idx="minor">
      <a:sysClr val="windowText" lastClr="000000"/>
    </cs:fontRef>
    <cs:spPr>
      <a:ln cap="rnd">
        <a:round/>
      </a:ln>
    </cs:spPr>
  </cs:dataPointLine>
  <cs:dataPointMarker>
    <cs:lnRef idx="1">
      <cs:styleClr val="auto"/>
    </cs:lnRef>
    <cs:fillRef idx="1">
      <cs:styleClr val="auto"/>
    </cs:fillRef>
    <cs:effectRef idx="0"/>
    <cs:fontRef idx="minor">
      <a:sysClr val="windowText" lastClr="000000"/>
    </cs:fontRef>
    <cs:spPr>
      <a:ln>
        <a:round/>
      </a:ln>
    </cs:spPr>
  </cs:dataPointMarker>
  <cs:dataPointMarkerLayout/>
  <cs:dataPointWireframe>
    <cs:lnRef idx="1">
      <cs:styleClr val="auto"/>
    </cs:lnRef>
    <cs:fillRef idx="0"/>
    <cs:effectRef idx="0"/>
    <cs:fontRef idx="minor">
      <a:sysClr val="windowText" lastClr="000000"/>
    </cs:fontRef>
    <cs:spPr>
      <a:ln>
        <a:round/>
      </a:ln>
    </cs:spPr>
  </cs:dataPointWireframe>
  <cs:dataTable>
    <cs:lnRef idx="1">
      <a:sysClr val="windowText" lastClr="000000">
        <a:tint val="75000"/>
      </a:sysClr>
    </cs:lnRef>
    <cs:fillRef idx="0"/>
    <cs:effectRef idx="0"/>
    <cs:fontRef idx="minor">
      <a:sysClr val="windowText" lastClr="000000"/>
    </cs:fontRef>
    <cs:spPr>
      <a:ln>
        <a:round/>
      </a:ln>
    </cs:spPr>
    <cs:defRPr sz="1000" kern="1200"/>
  </cs:dataTable>
  <cs:downBar>
    <cs:lnRef idx="1">
      <a:sysClr val="windowText" lastClr="000000"/>
    </cs:lnRef>
    <cs:fillRef idx="1" mods="ignoreCSTransforms">
      <cs:styleClr val="0">
        <a:shade val="25000"/>
      </cs:styleClr>
    </cs:fillRef>
    <cs:effectRef idx="0"/>
    <cs:fontRef idx="minor">
      <a:sysClr val="windowText" lastClr="000000"/>
    </cs:fontRef>
    <cs:spPr>
      <a:ln>
        <a:round/>
      </a:ln>
    </cs:spPr>
  </cs:downBar>
  <cs:dropLine>
    <cs:lnRef idx="1">
      <a:sysClr val="windowText" lastClr="000000"/>
    </cs:lnRef>
    <cs:fillRef idx="0"/>
    <cs:effectRef idx="0"/>
    <cs:fontRef idx="minor">
      <a:sysClr val="windowText" lastClr="000000"/>
    </cs:fontRef>
    <cs:spPr>
      <a:ln>
        <a:round/>
      </a:ln>
    </cs:spPr>
  </cs:dropLine>
  <cs:errorBar>
    <cs:lnRef idx="1">
      <a:sysClr val="windowText" lastClr="000000"/>
    </cs:lnRef>
    <cs:fillRef idx="1">
      <a:sysClr val="windowText" lastClr="000000"/>
    </cs:fillRef>
    <cs:effectRef idx="0"/>
    <cs:fontRef idx="minor">
      <a:sysClr val="windowText" lastClr="000000"/>
    </cs:fontRef>
    <cs:spPr>
      <a:ln>
        <a:round/>
      </a:ln>
    </cs:spPr>
  </cs:errorBar>
  <cs:floor>
    <cs:lnRef idx="1">
      <a:sysClr val="windowText" lastClr="000000">
        <a:tint val="75000"/>
      </a:sysClr>
    </cs:lnRef>
    <cs:fillRef idx="0"/>
    <cs:effectRef idx="0"/>
    <cs:fontRef idx="minor">
      <a:sysClr val="windowText" lastClr="000000"/>
    </cs:fontRef>
    <cs:spPr>
      <a:ln>
        <a:round/>
      </a:ln>
    </cs:spPr>
  </cs:floor>
  <cs:gridlineMajor>
    <cs:lnRef idx="1">
      <a:sysClr val="windowText" lastClr="000000">
        <a:tint val="75000"/>
      </a:sysClr>
    </cs:lnRef>
    <cs:fillRef idx="0"/>
    <cs:effectRef idx="0"/>
    <cs:fontRef idx="minor">
      <a:sysClr val="windowText" lastClr="000000"/>
    </cs:fontRef>
    <cs:spPr>
      <a:ln>
        <a:round/>
      </a:ln>
    </cs:spPr>
  </cs:gridlineMajor>
  <cs:gridlineMinor>
    <cs:lnRef idx="1">
      <a:sysClr val="windowText" lastClr="000000">
        <a:tint val="50000"/>
      </a:sysClr>
    </cs:lnRef>
    <cs:fillRef idx="0"/>
    <cs:effectRef idx="0"/>
    <cs:fontRef idx="minor">
      <a:sysClr val="windowText" lastClr="000000"/>
    </cs:fontRef>
    <cs:spPr>
      <a:ln>
        <a:round/>
      </a:ln>
    </cs:spPr>
  </cs:gridlineMinor>
  <cs:hiLoLine>
    <cs:lnRef idx="1">
      <a:sysClr val="windowText" lastClr="000000"/>
    </cs:lnRef>
    <cs:fillRef idx="0"/>
    <cs:effectRef idx="0"/>
    <cs:fontRef idx="minor">
      <a:sysClr val="windowText" lastClr="000000"/>
    </cs:fontRef>
    <cs:spPr>
      <a:ln>
        <a:round/>
      </a:ln>
    </cs:spPr>
  </cs:hiLoLine>
  <cs:leaderLine>
    <cs:lnRef idx="1">
      <a:sysClr val="windowText" lastClr="000000"/>
    </cs:lnRef>
    <cs:fillRef idx="0"/>
    <cs:effectRef idx="0"/>
    <cs:fontRef idx="minor">
      <a:sysClr val="windowText" lastClr="000000"/>
    </cs:fontRef>
    <cs:spPr>
      <a:ln>
        <a:round/>
      </a:ln>
    </cs:spPr>
  </cs:leaderLine>
  <cs:legend>
    <cs:lnRef idx="0"/>
    <cs:fillRef idx="0"/>
    <cs:effectRef idx="0"/>
    <cs:fontRef idx="minor">
      <a:sysClr val="windowText" lastClr="000000"/>
    </cs:fontRef>
    <cs:defRPr sz="1000" kern="1200"/>
  </cs:legend>
  <cs:plotArea mods="allowNoFillOverride allowNoLineOverride">
    <cs:lnRef idx="0"/>
    <cs:fillRef idx="1">
      <a:sysClr val="window" lastClr="FFFFFF"/>
    </cs:fillRef>
    <cs:effectRef idx="0"/>
    <cs:fontRef idx="minor">
      <a:sysClr val="windowText" lastClr="000000"/>
    </cs:fontRef>
  </cs:plotArea>
  <cs:plotArea3D>
    <cs:lnRef idx="0"/>
    <cs:fillRef idx="0"/>
    <cs:effectRef idx="0"/>
    <cs:fontRef idx="minor">
      <a:sysClr val="windowText" lastClr="000000"/>
    </cs:fontRef>
  </cs:plotArea3D>
  <cs:seriesAxis>
    <cs:lnRef idx="1">
      <a:sysClr val="windowText" lastClr="000000">
        <a:tint val="75000"/>
      </a:sysClr>
    </cs:lnRef>
    <cs:fillRef idx="0"/>
    <cs:effectRef idx="0"/>
    <cs:fontRef idx="minor">
      <a:sysClr val="windowText" lastClr="000000"/>
    </cs:fontRef>
    <cs:spPr>
      <a:ln>
        <a:round/>
      </a:ln>
    </cs:spPr>
    <cs:defRPr sz="1000" kern="1200"/>
  </cs:seriesAxis>
  <cs:seriesLine>
    <cs:lnRef idx="1">
      <a:sysClr val="windowText" lastClr="000000"/>
    </cs:lnRef>
    <cs:fillRef idx="0"/>
    <cs:effectRef idx="0"/>
    <cs:fontRef idx="minor">
      <a:sysClr val="windowText" lastClr="000000"/>
    </cs:fontRef>
    <cs:spPr>
      <a:ln>
        <a:round/>
      </a:ln>
    </cs:spPr>
  </cs:seriesLine>
  <cs:title>
    <cs:lnRef idx="0"/>
    <cs:fillRef idx="0"/>
    <cs:effectRef idx="0"/>
    <cs:fontRef idx="minor">
      <a:sysClr val="windowText" lastClr="000000"/>
    </cs:fontRef>
    <cs:defRPr sz="1800" b="1" kern="1200"/>
  </cs:title>
  <cs:trendline>
    <cs:lnRef idx="1">
      <a:sysClr val="windowText" lastClr="000000"/>
    </cs:lnRef>
    <cs:fillRef idx="0"/>
    <cs:effectRef idx="0"/>
    <cs:fontRef idx="minor">
      <a:sysClr val="windowText" lastClr="000000"/>
    </cs:fontRef>
    <cs:spPr>
      <a:ln cap="rnd">
        <a:round/>
      </a:ln>
    </cs:spPr>
  </cs:trendline>
  <cs:trendlineLabel>
    <cs:lnRef idx="0"/>
    <cs:fillRef idx="0"/>
    <cs:effectRef idx="0"/>
    <cs:fontRef idx="minor">
      <a:sysClr val="windowText" lastClr="000000"/>
    </cs:fontRef>
    <cs:defRPr sz="1000" kern="1200"/>
  </cs:trendlineLabel>
  <cs:upBar>
    <cs:lnRef idx="1">
      <a:sysClr val="windowText" lastClr="000000"/>
    </cs:lnRef>
    <cs:fillRef idx="1" mods="ignoreCSTransforms">
      <cs:styleClr val="0">
        <a:tint val="25000"/>
      </cs:styleClr>
    </cs:fillRef>
    <cs:effectRef idx="0"/>
    <cs:fontRef idx="minor">
      <a:sysClr val="windowText" lastClr="000000"/>
    </cs:fontRef>
    <cs:spPr>
      <a:ln>
        <a:round/>
      </a:ln>
    </cs:spPr>
  </cs:upBar>
  <cs:valueAxis>
    <cs:lnRef idx="1">
      <a:sysClr val="windowText" lastClr="000000">
        <a:tint val="75000"/>
      </a:sysClr>
    </cs:lnRef>
    <cs:fillRef idx="0"/>
    <cs:effectRef idx="0"/>
    <cs:fontRef idx="minor">
      <a:sysClr val="windowText" lastClr="000000"/>
    </cs:fontRef>
    <cs:spPr>
      <a:ln>
        <a:round/>
      </a:ln>
    </cs:spPr>
    <cs:defRPr sz="1000" kern="1200"/>
  </cs:valueAxis>
  <cs:wall>
    <cs:lnRef idx="0"/>
    <cs:fillRef idx="0"/>
    <cs:effectRef idx="0"/>
    <cs:fontRef idx="minor">
      <a:sysClr val="windowText" lastClr="000000"/>
    </cs:fontRef>
  </cs:wall>
</cs:chartStyle>
</file>

<file path=word/charts/style44.xml><?xml version="1.0" encoding="utf-8"?>
<cs:chartStyle xmlns:cs="http://schemas.microsoft.com/office/drawing/2012/chartStyle" xmlns:a="http://schemas.openxmlformats.org/drawingml/2006/main" id="107">
  <cs:axisTitle>
    <cs:lnRef idx="0"/>
    <cs:fillRef idx="0"/>
    <cs:effectRef idx="0"/>
    <cs:fontRef idx="minor">
      <a:sysClr val="windowText" lastClr="000000"/>
    </cs:fontRef>
    <cs:defRPr sz="1000" b="1" kern="1200"/>
  </cs:axisTitle>
  <cs:categoryAxis>
    <cs:lnRef idx="1">
      <a:sysClr val="windowText" lastClr="000000">
        <a:tint val="75000"/>
      </a:sysClr>
    </cs:lnRef>
    <cs:fillRef idx="0"/>
    <cs:effectRef idx="0"/>
    <cs:fontRef idx="minor">
      <a:sysClr val="windowText" lastClr="000000"/>
    </cs:fontRef>
    <cs:spPr>
      <a:ln>
        <a:round/>
      </a:ln>
    </cs:spPr>
    <cs:defRPr sz="1000" kern="1200"/>
  </cs:categoryAxis>
  <cs:chartArea mods="allowNoFillOverride allowNoLineOverride">
    <cs:lnRef idx="1">
      <a:sysClr val="windowText" lastClr="000000">
        <a:tint val="75000"/>
      </a:sysClr>
    </cs:lnRef>
    <cs:fillRef idx="1">
      <a:sysClr val="window" lastClr="FFFFFF"/>
    </cs:fillRef>
    <cs:effectRef idx="0"/>
    <cs:fontRef idx="minor">
      <a:sysClr val="windowText" lastClr="000000"/>
    </cs:fontRef>
    <cs:spPr>
      <a:ln>
        <a:round/>
      </a:ln>
    </cs:spPr>
    <cs:defRPr sz="1000" kern="1200"/>
  </cs:chartArea>
  <cs:dataLabel>
    <cs:lnRef idx="0"/>
    <cs:fillRef idx="0"/>
    <cs:effectRef idx="0"/>
    <cs:fontRef idx="minor">
      <a:sysClr val="windowText" lastClr="000000"/>
    </cs:fontRef>
    <cs:defRPr sz="1000" kern="1200"/>
  </cs:dataLabel>
  <cs:dataLabelCallout>
    <cs:lnRef idx="0"/>
    <cs:fillRef idx="0"/>
    <cs:effectRef idx="0"/>
    <cs:fontRef idx="minor">
      <a:sysClr val="windowText" lastClr="000000"/>
    </cs:fontRef>
    <cs:spPr>
      <a:solidFill>
        <a:sysClr val="window" lastClr="FFFFFF"/>
      </a:solidFill>
      <a:ln>
        <a:solidFill>
          <a:sysClr val="windowText" lastClr="000000">
            <a:lumMod val="65000"/>
            <a:lumOff val="35000"/>
          </a:sysClr>
        </a:solidFill>
      </a:ln>
    </cs:spPr>
    <cs:defRPr sz="1000" kern="1200"/>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1">
      <cs:styleClr val="auto"/>
    </cs:lnRef>
    <cs:lineWidthScale>3</cs:lineWidthScale>
    <cs:fillRef idx="0"/>
    <cs:effectRef idx="0"/>
    <cs:fontRef idx="minor">
      <a:sysClr val="windowText" lastClr="000000"/>
    </cs:fontRef>
    <cs:spPr>
      <a:ln cap="rnd">
        <a:round/>
      </a:ln>
    </cs:spPr>
  </cs:dataPointLine>
  <cs:dataPointMarker>
    <cs:lnRef idx="1">
      <cs:styleClr val="auto"/>
    </cs:lnRef>
    <cs:fillRef idx="1">
      <cs:styleClr val="auto"/>
    </cs:fillRef>
    <cs:effectRef idx="0"/>
    <cs:fontRef idx="minor">
      <a:sysClr val="windowText" lastClr="000000"/>
    </cs:fontRef>
    <cs:spPr>
      <a:ln>
        <a:round/>
      </a:ln>
    </cs:spPr>
  </cs:dataPointMarker>
  <cs:dataPointMarkerLayout/>
  <cs:dataPointWireframe>
    <cs:lnRef idx="1">
      <cs:styleClr val="auto"/>
    </cs:lnRef>
    <cs:fillRef idx="0"/>
    <cs:effectRef idx="0"/>
    <cs:fontRef idx="minor">
      <a:sysClr val="windowText" lastClr="000000"/>
    </cs:fontRef>
    <cs:spPr>
      <a:ln>
        <a:round/>
      </a:ln>
    </cs:spPr>
  </cs:dataPointWireframe>
  <cs:dataTable>
    <cs:lnRef idx="1">
      <a:sysClr val="windowText" lastClr="000000">
        <a:tint val="75000"/>
      </a:sysClr>
    </cs:lnRef>
    <cs:fillRef idx="0"/>
    <cs:effectRef idx="0"/>
    <cs:fontRef idx="minor">
      <a:sysClr val="windowText" lastClr="000000"/>
    </cs:fontRef>
    <cs:spPr>
      <a:ln>
        <a:round/>
      </a:ln>
    </cs:spPr>
    <cs:defRPr sz="1000" kern="1200"/>
  </cs:dataTable>
  <cs:downBar>
    <cs:lnRef idx="1">
      <a:sysClr val="windowText" lastClr="000000"/>
    </cs:lnRef>
    <cs:fillRef idx="1" mods="ignoreCSTransforms">
      <cs:styleClr val="0">
        <a:shade val="25000"/>
      </cs:styleClr>
    </cs:fillRef>
    <cs:effectRef idx="0"/>
    <cs:fontRef idx="minor">
      <a:sysClr val="windowText" lastClr="000000"/>
    </cs:fontRef>
    <cs:spPr>
      <a:ln>
        <a:round/>
      </a:ln>
    </cs:spPr>
  </cs:downBar>
  <cs:dropLine>
    <cs:lnRef idx="1">
      <a:sysClr val="windowText" lastClr="000000"/>
    </cs:lnRef>
    <cs:fillRef idx="0"/>
    <cs:effectRef idx="0"/>
    <cs:fontRef idx="minor">
      <a:sysClr val="windowText" lastClr="000000"/>
    </cs:fontRef>
    <cs:spPr>
      <a:ln>
        <a:round/>
      </a:ln>
    </cs:spPr>
  </cs:dropLine>
  <cs:errorBar>
    <cs:lnRef idx="1">
      <a:sysClr val="windowText" lastClr="000000"/>
    </cs:lnRef>
    <cs:fillRef idx="1">
      <a:sysClr val="windowText" lastClr="000000"/>
    </cs:fillRef>
    <cs:effectRef idx="0"/>
    <cs:fontRef idx="minor">
      <a:sysClr val="windowText" lastClr="000000"/>
    </cs:fontRef>
    <cs:spPr>
      <a:ln>
        <a:round/>
      </a:ln>
    </cs:spPr>
  </cs:errorBar>
  <cs:floor>
    <cs:lnRef idx="1">
      <a:sysClr val="windowText" lastClr="000000">
        <a:tint val="75000"/>
      </a:sysClr>
    </cs:lnRef>
    <cs:fillRef idx="0"/>
    <cs:effectRef idx="0"/>
    <cs:fontRef idx="minor">
      <a:sysClr val="windowText" lastClr="000000"/>
    </cs:fontRef>
    <cs:spPr>
      <a:ln>
        <a:round/>
      </a:ln>
    </cs:spPr>
  </cs:floor>
  <cs:gridlineMajor>
    <cs:lnRef idx="1">
      <a:sysClr val="windowText" lastClr="000000">
        <a:tint val="75000"/>
      </a:sysClr>
    </cs:lnRef>
    <cs:fillRef idx="0"/>
    <cs:effectRef idx="0"/>
    <cs:fontRef idx="minor">
      <a:sysClr val="windowText" lastClr="000000"/>
    </cs:fontRef>
    <cs:spPr>
      <a:ln>
        <a:round/>
      </a:ln>
    </cs:spPr>
  </cs:gridlineMajor>
  <cs:gridlineMinor>
    <cs:lnRef idx="1">
      <a:sysClr val="windowText" lastClr="000000">
        <a:tint val="50000"/>
      </a:sysClr>
    </cs:lnRef>
    <cs:fillRef idx="0"/>
    <cs:effectRef idx="0"/>
    <cs:fontRef idx="minor">
      <a:sysClr val="windowText" lastClr="000000"/>
    </cs:fontRef>
    <cs:spPr>
      <a:ln>
        <a:round/>
      </a:ln>
    </cs:spPr>
  </cs:gridlineMinor>
  <cs:hiLoLine>
    <cs:lnRef idx="1">
      <a:sysClr val="windowText" lastClr="000000"/>
    </cs:lnRef>
    <cs:fillRef idx="0"/>
    <cs:effectRef idx="0"/>
    <cs:fontRef idx="minor">
      <a:sysClr val="windowText" lastClr="000000"/>
    </cs:fontRef>
    <cs:spPr>
      <a:ln>
        <a:round/>
      </a:ln>
    </cs:spPr>
  </cs:hiLoLine>
  <cs:leaderLine>
    <cs:lnRef idx="1">
      <a:sysClr val="windowText" lastClr="000000"/>
    </cs:lnRef>
    <cs:fillRef idx="0"/>
    <cs:effectRef idx="0"/>
    <cs:fontRef idx="minor">
      <a:sysClr val="windowText" lastClr="000000"/>
    </cs:fontRef>
    <cs:spPr>
      <a:ln>
        <a:round/>
      </a:ln>
    </cs:spPr>
  </cs:leaderLine>
  <cs:legend>
    <cs:lnRef idx="0"/>
    <cs:fillRef idx="0"/>
    <cs:effectRef idx="0"/>
    <cs:fontRef idx="minor">
      <a:sysClr val="windowText" lastClr="000000"/>
    </cs:fontRef>
    <cs:defRPr sz="1000" kern="1200"/>
  </cs:legend>
  <cs:plotArea mods="allowNoFillOverride allowNoLineOverride">
    <cs:lnRef idx="0"/>
    <cs:fillRef idx="1">
      <a:sysClr val="window" lastClr="FFFFFF"/>
    </cs:fillRef>
    <cs:effectRef idx="0"/>
    <cs:fontRef idx="minor">
      <a:sysClr val="windowText" lastClr="000000"/>
    </cs:fontRef>
  </cs:plotArea>
  <cs:plotArea3D>
    <cs:lnRef idx="0"/>
    <cs:fillRef idx="0"/>
    <cs:effectRef idx="0"/>
    <cs:fontRef idx="minor">
      <a:sysClr val="windowText" lastClr="000000"/>
    </cs:fontRef>
  </cs:plotArea3D>
  <cs:seriesAxis>
    <cs:lnRef idx="1">
      <a:sysClr val="windowText" lastClr="000000">
        <a:tint val="75000"/>
      </a:sysClr>
    </cs:lnRef>
    <cs:fillRef idx="0"/>
    <cs:effectRef idx="0"/>
    <cs:fontRef idx="minor">
      <a:sysClr val="windowText" lastClr="000000"/>
    </cs:fontRef>
    <cs:spPr>
      <a:ln>
        <a:round/>
      </a:ln>
    </cs:spPr>
    <cs:defRPr sz="1000" kern="1200"/>
  </cs:seriesAxis>
  <cs:seriesLine>
    <cs:lnRef idx="1">
      <a:sysClr val="windowText" lastClr="000000"/>
    </cs:lnRef>
    <cs:fillRef idx="0"/>
    <cs:effectRef idx="0"/>
    <cs:fontRef idx="minor">
      <a:sysClr val="windowText" lastClr="000000"/>
    </cs:fontRef>
    <cs:spPr>
      <a:ln>
        <a:round/>
      </a:ln>
    </cs:spPr>
  </cs:seriesLine>
  <cs:title>
    <cs:lnRef idx="0"/>
    <cs:fillRef idx="0"/>
    <cs:effectRef idx="0"/>
    <cs:fontRef idx="minor">
      <a:sysClr val="windowText" lastClr="000000"/>
    </cs:fontRef>
    <cs:defRPr sz="1800" b="1" kern="1200"/>
  </cs:title>
  <cs:trendline>
    <cs:lnRef idx="1">
      <a:sysClr val="windowText" lastClr="000000"/>
    </cs:lnRef>
    <cs:fillRef idx="0"/>
    <cs:effectRef idx="0"/>
    <cs:fontRef idx="minor">
      <a:sysClr val="windowText" lastClr="000000"/>
    </cs:fontRef>
    <cs:spPr>
      <a:ln cap="rnd">
        <a:round/>
      </a:ln>
    </cs:spPr>
  </cs:trendline>
  <cs:trendlineLabel>
    <cs:lnRef idx="0"/>
    <cs:fillRef idx="0"/>
    <cs:effectRef idx="0"/>
    <cs:fontRef idx="minor">
      <a:sysClr val="windowText" lastClr="000000"/>
    </cs:fontRef>
    <cs:defRPr sz="1000" kern="1200"/>
  </cs:trendlineLabel>
  <cs:upBar>
    <cs:lnRef idx="1">
      <a:sysClr val="windowText" lastClr="000000"/>
    </cs:lnRef>
    <cs:fillRef idx="1" mods="ignoreCSTransforms">
      <cs:styleClr val="0">
        <a:tint val="25000"/>
      </cs:styleClr>
    </cs:fillRef>
    <cs:effectRef idx="0"/>
    <cs:fontRef idx="minor">
      <a:sysClr val="windowText" lastClr="000000"/>
    </cs:fontRef>
    <cs:spPr>
      <a:ln>
        <a:round/>
      </a:ln>
    </cs:spPr>
  </cs:upBar>
  <cs:valueAxis>
    <cs:lnRef idx="1">
      <a:sysClr val="windowText" lastClr="000000">
        <a:tint val="75000"/>
      </a:sysClr>
    </cs:lnRef>
    <cs:fillRef idx="0"/>
    <cs:effectRef idx="0"/>
    <cs:fontRef idx="minor">
      <a:sysClr val="windowText" lastClr="000000"/>
    </cs:fontRef>
    <cs:spPr>
      <a:ln>
        <a:round/>
      </a:ln>
    </cs:spPr>
    <cs:defRPr sz="1000" kern="1200"/>
  </cs:valueAxis>
  <cs:wall>
    <cs:lnRef idx="0"/>
    <cs:fillRef idx="0"/>
    <cs:effectRef idx="0"/>
    <cs:fontRef idx="minor">
      <a:sysClr val="windowText" lastClr="000000"/>
    </cs:fontRef>
  </cs:wall>
</cs:chartStyle>
</file>

<file path=word/charts/style45.xml><?xml version="1.0" encoding="utf-8"?>
<cs:chartStyle xmlns:cs="http://schemas.microsoft.com/office/drawing/2012/chartStyle" xmlns:a="http://schemas.openxmlformats.org/drawingml/2006/main" id="251">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9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spPr>
      <a:ln w="19050">
        <a:solidFill>
          <a:sysClr val="window" lastClr="FFFFFF"/>
        </a:solidFill>
      </a:ln>
    </cs:spPr>
  </cs:dataPoint>
  <cs:dataPoint3D>
    <cs:lnRef idx="0"/>
    <cs:fillRef idx="1">
      <cs:styleClr val="auto"/>
    </cs:fillRef>
    <cs:effectRef idx="0"/>
    <cs:fontRef idx="minor">
      <a:sysClr val="windowText" lastClr="000000"/>
    </cs:fontRef>
    <cs:spPr>
      <a:ln w="25400">
        <a:solidFill>
          <a:sysClr val="window" lastClr="FFFFFF"/>
        </a:solidFill>
      </a:ln>
    </cs:spPr>
  </cs:dataPoint3D>
  <cs:dataPointLine>
    <cs:lnRef idx="0">
      <cs:styleClr val="auto"/>
    </cs:lnRef>
    <cs:fillRef idx="0"/>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0"/>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75000"/>
          <a:lumOff val="25000"/>
        </a:sysClr>
      </a:solidFill>
      <a:ln w="9525" cap="flat" cmpd="sng" algn="ctr">
        <a:solidFill>
          <a:sysClr val="windowText" lastClr="000000">
            <a:lumMod val="65000"/>
            <a:lumOff val="35000"/>
          </a:sysClr>
        </a:solidFill>
        <a:round/>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50000"/>
            <a:lumOff val="50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cap="flat" cmpd="sng" algn="ctr">
        <a:solidFill>
          <a:sysClr val="windowText" lastClr="000000">
            <a:lumMod val="65000"/>
            <a:lumOff val="35000"/>
          </a:sysClr>
        </a:solidFill>
        <a:round/>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46.xml><?xml version="1.0" encoding="utf-8"?>
<cs:chartStyle xmlns:cs="http://schemas.microsoft.com/office/drawing/2012/chartStyle" xmlns:a="http://schemas.openxmlformats.org/drawingml/2006/main" id="107">
  <cs:axisTitle>
    <cs:lnRef idx="0"/>
    <cs:fillRef idx="0"/>
    <cs:effectRef idx="0"/>
    <cs:fontRef idx="minor">
      <a:sysClr val="windowText" lastClr="000000"/>
    </cs:fontRef>
    <cs:defRPr sz="1000" b="1" kern="1200"/>
  </cs:axisTitle>
  <cs:categoryAxis>
    <cs:lnRef idx="1">
      <a:sysClr val="windowText" lastClr="000000">
        <a:tint val="75000"/>
      </a:sysClr>
    </cs:lnRef>
    <cs:fillRef idx="0"/>
    <cs:effectRef idx="0"/>
    <cs:fontRef idx="minor">
      <a:sysClr val="windowText" lastClr="000000"/>
    </cs:fontRef>
    <cs:spPr>
      <a:ln>
        <a:round/>
      </a:ln>
    </cs:spPr>
    <cs:defRPr sz="1000" kern="1200"/>
  </cs:categoryAxis>
  <cs:chartArea mods="allowNoFillOverride allowNoLineOverride">
    <cs:lnRef idx="1">
      <a:sysClr val="windowText" lastClr="000000">
        <a:tint val="75000"/>
      </a:sysClr>
    </cs:lnRef>
    <cs:fillRef idx="1">
      <a:sysClr val="window" lastClr="FFFFFF"/>
    </cs:fillRef>
    <cs:effectRef idx="0"/>
    <cs:fontRef idx="minor">
      <a:sysClr val="windowText" lastClr="000000"/>
    </cs:fontRef>
    <cs:spPr>
      <a:ln>
        <a:round/>
      </a:ln>
    </cs:spPr>
    <cs:defRPr sz="1000" kern="1200"/>
  </cs:chartArea>
  <cs:dataLabel>
    <cs:lnRef idx="0"/>
    <cs:fillRef idx="0"/>
    <cs:effectRef idx="0"/>
    <cs:fontRef idx="minor">
      <a:sysClr val="windowText" lastClr="000000"/>
    </cs:fontRef>
    <cs:defRPr sz="1000" kern="1200"/>
  </cs:dataLabel>
  <cs:dataLabelCallout>
    <cs:lnRef idx="0"/>
    <cs:fillRef idx="0"/>
    <cs:effectRef idx="0"/>
    <cs:fontRef idx="minor">
      <a:sysClr val="windowText" lastClr="000000"/>
    </cs:fontRef>
    <cs:spPr>
      <a:solidFill>
        <a:sysClr val="window" lastClr="FFFFFF"/>
      </a:solidFill>
      <a:ln>
        <a:solidFill>
          <a:sysClr val="windowText" lastClr="000000">
            <a:lumMod val="65000"/>
            <a:lumOff val="35000"/>
          </a:sysClr>
        </a:solidFill>
      </a:ln>
    </cs:spPr>
    <cs:defRPr sz="1000" kern="1200"/>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1">
      <cs:styleClr val="auto"/>
    </cs:lnRef>
    <cs:lineWidthScale>3</cs:lineWidthScale>
    <cs:fillRef idx="0"/>
    <cs:effectRef idx="0"/>
    <cs:fontRef idx="minor">
      <a:sysClr val="windowText" lastClr="000000"/>
    </cs:fontRef>
    <cs:spPr>
      <a:ln cap="rnd">
        <a:round/>
      </a:ln>
    </cs:spPr>
  </cs:dataPointLine>
  <cs:dataPointMarker>
    <cs:lnRef idx="1">
      <cs:styleClr val="auto"/>
    </cs:lnRef>
    <cs:fillRef idx="1">
      <cs:styleClr val="auto"/>
    </cs:fillRef>
    <cs:effectRef idx="0"/>
    <cs:fontRef idx="minor">
      <a:sysClr val="windowText" lastClr="000000"/>
    </cs:fontRef>
    <cs:spPr>
      <a:ln>
        <a:round/>
      </a:ln>
    </cs:spPr>
  </cs:dataPointMarker>
  <cs:dataPointMarkerLayout/>
  <cs:dataPointWireframe>
    <cs:lnRef idx="1">
      <cs:styleClr val="auto"/>
    </cs:lnRef>
    <cs:fillRef idx="0"/>
    <cs:effectRef idx="0"/>
    <cs:fontRef idx="minor">
      <a:sysClr val="windowText" lastClr="000000"/>
    </cs:fontRef>
    <cs:spPr>
      <a:ln>
        <a:round/>
      </a:ln>
    </cs:spPr>
  </cs:dataPointWireframe>
  <cs:dataTable>
    <cs:lnRef idx="1">
      <a:sysClr val="windowText" lastClr="000000">
        <a:tint val="75000"/>
      </a:sysClr>
    </cs:lnRef>
    <cs:fillRef idx="0"/>
    <cs:effectRef idx="0"/>
    <cs:fontRef idx="minor">
      <a:sysClr val="windowText" lastClr="000000"/>
    </cs:fontRef>
    <cs:spPr>
      <a:ln>
        <a:round/>
      </a:ln>
    </cs:spPr>
    <cs:defRPr sz="1000" kern="1200"/>
  </cs:dataTable>
  <cs:downBar>
    <cs:lnRef idx="1">
      <a:sysClr val="windowText" lastClr="000000"/>
    </cs:lnRef>
    <cs:fillRef idx="1" mods="ignoreCSTransforms">
      <cs:styleClr val="0">
        <a:shade val="25000"/>
      </cs:styleClr>
    </cs:fillRef>
    <cs:effectRef idx="0"/>
    <cs:fontRef idx="minor">
      <a:sysClr val="windowText" lastClr="000000"/>
    </cs:fontRef>
    <cs:spPr>
      <a:ln>
        <a:round/>
      </a:ln>
    </cs:spPr>
  </cs:downBar>
  <cs:dropLine>
    <cs:lnRef idx="1">
      <a:sysClr val="windowText" lastClr="000000"/>
    </cs:lnRef>
    <cs:fillRef idx="0"/>
    <cs:effectRef idx="0"/>
    <cs:fontRef idx="minor">
      <a:sysClr val="windowText" lastClr="000000"/>
    </cs:fontRef>
    <cs:spPr>
      <a:ln>
        <a:round/>
      </a:ln>
    </cs:spPr>
  </cs:dropLine>
  <cs:errorBar>
    <cs:lnRef idx="1">
      <a:sysClr val="windowText" lastClr="000000"/>
    </cs:lnRef>
    <cs:fillRef idx="1">
      <a:sysClr val="windowText" lastClr="000000"/>
    </cs:fillRef>
    <cs:effectRef idx="0"/>
    <cs:fontRef idx="minor">
      <a:sysClr val="windowText" lastClr="000000"/>
    </cs:fontRef>
    <cs:spPr>
      <a:ln>
        <a:round/>
      </a:ln>
    </cs:spPr>
  </cs:errorBar>
  <cs:floor>
    <cs:lnRef idx="1">
      <a:sysClr val="windowText" lastClr="000000">
        <a:tint val="75000"/>
      </a:sysClr>
    </cs:lnRef>
    <cs:fillRef idx="0"/>
    <cs:effectRef idx="0"/>
    <cs:fontRef idx="minor">
      <a:sysClr val="windowText" lastClr="000000"/>
    </cs:fontRef>
    <cs:spPr>
      <a:ln>
        <a:round/>
      </a:ln>
    </cs:spPr>
  </cs:floor>
  <cs:gridlineMajor>
    <cs:lnRef idx="1">
      <a:sysClr val="windowText" lastClr="000000">
        <a:tint val="75000"/>
      </a:sysClr>
    </cs:lnRef>
    <cs:fillRef idx="0"/>
    <cs:effectRef idx="0"/>
    <cs:fontRef idx="minor">
      <a:sysClr val="windowText" lastClr="000000"/>
    </cs:fontRef>
    <cs:spPr>
      <a:ln>
        <a:round/>
      </a:ln>
    </cs:spPr>
  </cs:gridlineMajor>
  <cs:gridlineMinor>
    <cs:lnRef idx="1">
      <a:sysClr val="windowText" lastClr="000000">
        <a:tint val="50000"/>
      </a:sysClr>
    </cs:lnRef>
    <cs:fillRef idx="0"/>
    <cs:effectRef idx="0"/>
    <cs:fontRef idx="minor">
      <a:sysClr val="windowText" lastClr="000000"/>
    </cs:fontRef>
    <cs:spPr>
      <a:ln>
        <a:round/>
      </a:ln>
    </cs:spPr>
  </cs:gridlineMinor>
  <cs:hiLoLine>
    <cs:lnRef idx="1">
      <a:sysClr val="windowText" lastClr="000000"/>
    </cs:lnRef>
    <cs:fillRef idx="0"/>
    <cs:effectRef idx="0"/>
    <cs:fontRef idx="minor">
      <a:sysClr val="windowText" lastClr="000000"/>
    </cs:fontRef>
    <cs:spPr>
      <a:ln>
        <a:round/>
      </a:ln>
    </cs:spPr>
  </cs:hiLoLine>
  <cs:leaderLine>
    <cs:lnRef idx="1">
      <a:sysClr val="windowText" lastClr="000000"/>
    </cs:lnRef>
    <cs:fillRef idx="0"/>
    <cs:effectRef idx="0"/>
    <cs:fontRef idx="minor">
      <a:sysClr val="windowText" lastClr="000000"/>
    </cs:fontRef>
    <cs:spPr>
      <a:ln>
        <a:round/>
      </a:ln>
    </cs:spPr>
  </cs:leaderLine>
  <cs:legend>
    <cs:lnRef idx="0"/>
    <cs:fillRef idx="0"/>
    <cs:effectRef idx="0"/>
    <cs:fontRef idx="minor">
      <a:sysClr val="windowText" lastClr="000000"/>
    </cs:fontRef>
    <cs:defRPr sz="1000" kern="1200"/>
  </cs:legend>
  <cs:plotArea mods="allowNoFillOverride allowNoLineOverride">
    <cs:lnRef idx="0"/>
    <cs:fillRef idx="1">
      <a:sysClr val="window" lastClr="FFFFFF"/>
    </cs:fillRef>
    <cs:effectRef idx="0"/>
    <cs:fontRef idx="minor">
      <a:sysClr val="windowText" lastClr="000000"/>
    </cs:fontRef>
  </cs:plotArea>
  <cs:plotArea3D>
    <cs:lnRef idx="0"/>
    <cs:fillRef idx="0"/>
    <cs:effectRef idx="0"/>
    <cs:fontRef idx="minor">
      <a:sysClr val="windowText" lastClr="000000"/>
    </cs:fontRef>
  </cs:plotArea3D>
  <cs:seriesAxis>
    <cs:lnRef idx="1">
      <a:sysClr val="windowText" lastClr="000000">
        <a:tint val="75000"/>
      </a:sysClr>
    </cs:lnRef>
    <cs:fillRef idx="0"/>
    <cs:effectRef idx="0"/>
    <cs:fontRef idx="minor">
      <a:sysClr val="windowText" lastClr="000000"/>
    </cs:fontRef>
    <cs:spPr>
      <a:ln>
        <a:round/>
      </a:ln>
    </cs:spPr>
    <cs:defRPr sz="1000" kern="1200"/>
  </cs:seriesAxis>
  <cs:seriesLine>
    <cs:lnRef idx="1">
      <a:sysClr val="windowText" lastClr="000000"/>
    </cs:lnRef>
    <cs:fillRef idx="0"/>
    <cs:effectRef idx="0"/>
    <cs:fontRef idx="minor">
      <a:sysClr val="windowText" lastClr="000000"/>
    </cs:fontRef>
    <cs:spPr>
      <a:ln>
        <a:round/>
      </a:ln>
    </cs:spPr>
  </cs:seriesLine>
  <cs:title>
    <cs:lnRef idx="0"/>
    <cs:fillRef idx="0"/>
    <cs:effectRef idx="0"/>
    <cs:fontRef idx="minor">
      <a:sysClr val="windowText" lastClr="000000"/>
    </cs:fontRef>
    <cs:defRPr sz="1800" b="1" kern="1200"/>
  </cs:title>
  <cs:trendline>
    <cs:lnRef idx="1">
      <a:sysClr val="windowText" lastClr="000000"/>
    </cs:lnRef>
    <cs:fillRef idx="0"/>
    <cs:effectRef idx="0"/>
    <cs:fontRef idx="minor">
      <a:sysClr val="windowText" lastClr="000000"/>
    </cs:fontRef>
    <cs:spPr>
      <a:ln cap="rnd">
        <a:round/>
      </a:ln>
    </cs:spPr>
  </cs:trendline>
  <cs:trendlineLabel>
    <cs:lnRef idx="0"/>
    <cs:fillRef idx="0"/>
    <cs:effectRef idx="0"/>
    <cs:fontRef idx="minor">
      <a:sysClr val="windowText" lastClr="000000"/>
    </cs:fontRef>
    <cs:defRPr sz="1000" kern="1200"/>
  </cs:trendlineLabel>
  <cs:upBar>
    <cs:lnRef idx="1">
      <a:sysClr val="windowText" lastClr="000000"/>
    </cs:lnRef>
    <cs:fillRef idx="1" mods="ignoreCSTransforms">
      <cs:styleClr val="0">
        <a:tint val="25000"/>
      </cs:styleClr>
    </cs:fillRef>
    <cs:effectRef idx="0"/>
    <cs:fontRef idx="minor">
      <a:sysClr val="windowText" lastClr="000000"/>
    </cs:fontRef>
    <cs:spPr>
      <a:ln>
        <a:round/>
      </a:ln>
    </cs:spPr>
  </cs:upBar>
  <cs:valueAxis>
    <cs:lnRef idx="1">
      <a:sysClr val="windowText" lastClr="000000">
        <a:tint val="75000"/>
      </a:sysClr>
    </cs:lnRef>
    <cs:fillRef idx="0"/>
    <cs:effectRef idx="0"/>
    <cs:fontRef idx="minor">
      <a:sysClr val="windowText" lastClr="000000"/>
    </cs:fontRef>
    <cs:spPr>
      <a:ln>
        <a:round/>
      </a:ln>
    </cs:spPr>
    <cs:defRPr sz="1000" kern="1200"/>
  </cs:valueAxis>
  <cs:wall>
    <cs:lnRef idx="0"/>
    <cs:fillRef idx="0"/>
    <cs:effectRef idx="0"/>
    <cs:fontRef idx="minor">
      <a:sysClr val="windowText" lastClr="000000"/>
    </cs:fontRef>
  </cs:wall>
</cs:chartStyle>
</file>

<file path=word/charts/style47.xml><?xml version="1.0" encoding="utf-8"?>
<cs:chartStyle xmlns:cs="http://schemas.microsoft.com/office/drawing/2012/chartStyle" xmlns:a="http://schemas.openxmlformats.org/drawingml/2006/main" id="107">
  <cs:axisTitle>
    <cs:lnRef idx="0"/>
    <cs:fillRef idx="0"/>
    <cs:effectRef idx="0"/>
    <cs:fontRef idx="minor">
      <a:sysClr val="windowText" lastClr="000000"/>
    </cs:fontRef>
    <cs:defRPr sz="1000" b="1" kern="1200"/>
  </cs:axisTitle>
  <cs:categoryAxis>
    <cs:lnRef idx="1">
      <a:sysClr val="windowText" lastClr="000000">
        <a:tint val="75000"/>
      </a:sysClr>
    </cs:lnRef>
    <cs:fillRef idx="0"/>
    <cs:effectRef idx="0"/>
    <cs:fontRef idx="minor">
      <a:sysClr val="windowText" lastClr="000000"/>
    </cs:fontRef>
    <cs:spPr>
      <a:ln>
        <a:round/>
      </a:ln>
    </cs:spPr>
    <cs:defRPr sz="1000" kern="1200"/>
  </cs:categoryAxis>
  <cs:chartArea mods="allowNoFillOverride allowNoLineOverride">
    <cs:lnRef idx="1">
      <a:sysClr val="windowText" lastClr="000000">
        <a:tint val="75000"/>
      </a:sysClr>
    </cs:lnRef>
    <cs:fillRef idx="1">
      <a:sysClr val="window" lastClr="FFFFFF"/>
    </cs:fillRef>
    <cs:effectRef idx="0"/>
    <cs:fontRef idx="minor">
      <a:sysClr val="windowText" lastClr="000000"/>
    </cs:fontRef>
    <cs:spPr>
      <a:ln>
        <a:round/>
      </a:ln>
    </cs:spPr>
    <cs:defRPr sz="1000" kern="1200"/>
  </cs:chartArea>
  <cs:dataLabel>
    <cs:lnRef idx="0"/>
    <cs:fillRef idx="0"/>
    <cs:effectRef idx="0"/>
    <cs:fontRef idx="minor">
      <a:sysClr val="windowText" lastClr="000000"/>
    </cs:fontRef>
    <cs:defRPr sz="1000" kern="1200"/>
  </cs:dataLabel>
  <cs:dataLabelCallout>
    <cs:lnRef idx="0"/>
    <cs:fillRef idx="0"/>
    <cs:effectRef idx="0"/>
    <cs:fontRef idx="minor">
      <a:sysClr val="windowText" lastClr="000000"/>
    </cs:fontRef>
    <cs:spPr>
      <a:solidFill>
        <a:sysClr val="window" lastClr="FFFFFF"/>
      </a:solidFill>
      <a:ln>
        <a:solidFill>
          <a:sysClr val="windowText" lastClr="000000">
            <a:lumMod val="65000"/>
            <a:lumOff val="35000"/>
          </a:sysClr>
        </a:solidFill>
      </a:ln>
    </cs:spPr>
    <cs:defRPr sz="1000" kern="1200"/>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1">
      <cs:styleClr val="auto"/>
    </cs:lnRef>
    <cs:lineWidthScale>3</cs:lineWidthScale>
    <cs:fillRef idx="0"/>
    <cs:effectRef idx="0"/>
    <cs:fontRef idx="minor">
      <a:sysClr val="windowText" lastClr="000000"/>
    </cs:fontRef>
    <cs:spPr>
      <a:ln cap="rnd">
        <a:round/>
      </a:ln>
    </cs:spPr>
  </cs:dataPointLine>
  <cs:dataPointMarker>
    <cs:lnRef idx="1">
      <cs:styleClr val="auto"/>
    </cs:lnRef>
    <cs:fillRef idx="1">
      <cs:styleClr val="auto"/>
    </cs:fillRef>
    <cs:effectRef idx="0"/>
    <cs:fontRef idx="minor">
      <a:sysClr val="windowText" lastClr="000000"/>
    </cs:fontRef>
    <cs:spPr>
      <a:ln>
        <a:round/>
      </a:ln>
    </cs:spPr>
  </cs:dataPointMarker>
  <cs:dataPointMarkerLayout/>
  <cs:dataPointWireframe>
    <cs:lnRef idx="1">
      <cs:styleClr val="auto"/>
    </cs:lnRef>
    <cs:fillRef idx="0"/>
    <cs:effectRef idx="0"/>
    <cs:fontRef idx="minor">
      <a:sysClr val="windowText" lastClr="000000"/>
    </cs:fontRef>
    <cs:spPr>
      <a:ln>
        <a:round/>
      </a:ln>
    </cs:spPr>
  </cs:dataPointWireframe>
  <cs:dataTable>
    <cs:lnRef idx="1">
      <a:sysClr val="windowText" lastClr="000000">
        <a:tint val="75000"/>
      </a:sysClr>
    </cs:lnRef>
    <cs:fillRef idx="0"/>
    <cs:effectRef idx="0"/>
    <cs:fontRef idx="minor">
      <a:sysClr val="windowText" lastClr="000000"/>
    </cs:fontRef>
    <cs:spPr>
      <a:ln>
        <a:round/>
      </a:ln>
    </cs:spPr>
    <cs:defRPr sz="1000" kern="1200"/>
  </cs:dataTable>
  <cs:downBar>
    <cs:lnRef idx="1">
      <a:sysClr val="windowText" lastClr="000000"/>
    </cs:lnRef>
    <cs:fillRef idx="1" mods="ignoreCSTransforms">
      <cs:styleClr val="0">
        <a:shade val="25000"/>
      </cs:styleClr>
    </cs:fillRef>
    <cs:effectRef idx="0"/>
    <cs:fontRef idx="minor">
      <a:sysClr val="windowText" lastClr="000000"/>
    </cs:fontRef>
    <cs:spPr>
      <a:ln>
        <a:round/>
      </a:ln>
    </cs:spPr>
  </cs:downBar>
  <cs:dropLine>
    <cs:lnRef idx="1">
      <a:sysClr val="windowText" lastClr="000000"/>
    </cs:lnRef>
    <cs:fillRef idx="0"/>
    <cs:effectRef idx="0"/>
    <cs:fontRef idx="minor">
      <a:sysClr val="windowText" lastClr="000000"/>
    </cs:fontRef>
    <cs:spPr>
      <a:ln>
        <a:round/>
      </a:ln>
    </cs:spPr>
  </cs:dropLine>
  <cs:errorBar>
    <cs:lnRef idx="1">
      <a:sysClr val="windowText" lastClr="000000"/>
    </cs:lnRef>
    <cs:fillRef idx="1">
      <a:sysClr val="windowText" lastClr="000000"/>
    </cs:fillRef>
    <cs:effectRef idx="0"/>
    <cs:fontRef idx="minor">
      <a:sysClr val="windowText" lastClr="000000"/>
    </cs:fontRef>
    <cs:spPr>
      <a:ln>
        <a:round/>
      </a:ln>
    </cs:spPr>
  </cs:errorBar>
  <cs:floor>
    <cs:lnRef idx="1">
      <a:sysClr val="windowText" lastClr="000000">
        <a:tint val="75000"/>
      </a:sysClr>
    </cs:lnRef>
    <cs:fillRef idx="0"/>
    <cs:effectRef idx="0"/>
    <cs:fontRef idx="minor">
      <a:sysClr val="windowText" lastClr="000000"/>
    </cs:fontRef>
    <cs:spPr>
      <a:ln>
        <a:round/>
      </a:ln>
    </cs:spPr>
  </cs:floor>
  <cs:gridlineMajor>
    <cs:lnRef idx="1">
      <a:sysClr val="windowText" lastClr="000000">
        <a:tint val="75000"/>
      </a:sysClr>
    </cs:lnRef>
    <cs:fillRef idx="0"/>
    <cs:effectRef idx="0"/>
    <cs:fontRef idx="minor">
      <a:sysClr val="windowText" lastClr="000000"/>
    </cs:fontRef>
    <cs:spPr>
      <a:ln>
        <a:round/>
      </a:ln>
    </cs:spPr>
  </cs:gridlineMajor>
  <cs:gridlineMinor>
    <cs:lnRef idx="1">
      <a:sysClr val="windowText" lastClr="000000">
        <a:tint val="50000"/>
      </a:sysClr>
    </cs:lnRef>
    <cs:fillRef idx="0"/>
    <cs:effectRef idx="0"/>
    <cs:fontRef idx="minor">
      <a:sysClr val="windowText" lastClr="000000"/>
    </cs:fontRef>
    <cs:spPr>
      <a:ln>
        <a:round/>
      </a:ln>
    </cs:spPr>
  </cs:gridlineMinor>
  <cs:hiLoLine>
    <cs:lnRef idx="1">
      <a:sysClr val="windowText" lastClr="000000"/>
    </cs:lnRef>
    <cs:fillRef idx="0"/>
    <cs:effectRef idx="0"/>
    <cs:fontRef idx="minor">
      <a:sysClr val="windowText" lastClr="000000"/>
    </cs:fontRef>
    <cs:spPr>
      <a:ln>
        <a:round/>
      </a:ln>
    </cs:spPr>
  </cs:hiLoLine>
  <cs:leaderLine>
    <cs:lnRef idx="1">
      <a:sysClr val="windowText" lastClr="000000"/>
    </cs:lnRef>
    <cs:fillRef idx="0"/>
    <cs:effectRef idx="0"/>
    <cs:fontRef idx="minor">
      <a:sysClr val="windowText" lastClr="000000"/>
    </cs:fontRef>
    <cs:spPr>
      <a:ln>
        <a:round/>
      </a:ln>
    </cs:spPr>
  </cs:leaderLine>
  <cs:legend>
    <cs:lnRef idx="0"/>
    <cs:fillRef idx="0"/>
    <cs:effectRef idx="0"/>
    <cs:fontRef idx="minor">
      <a:sysClr val="windowText" lastClr="000000"/>
    </cs:fontRef>
    <cs:defRPr sz="1000" kern="1200"/>
  </cs:legend>
  <cs:plotArea mods="allowNoFillOverride allowNoLineOverride">
    <cs:lnRef idx="0"/>
    <cs:fillRef idx="1">
      <a:sysClr val="window" lastClr="FFFFFF"/>
    </cs:fillRef>
    <cs:effectRef idx="0"/>
    <cs:fontRef idx="minor">
      <a:sysClr val="windowText" lastClr="000000"/>
    </cs:fontRef>
  </cs:plotArea>
  <cs:plotArea3D>
    <cs:lnRef idx="0"/>
    <cs:fillRef idx="0"/>
    <cs:effectRef idx="0"/>
    <cs:fontRef idx="minor">
      <a:sysClr val="windowText" lastClr="000000"/>
    </cs:fontRef>
  </cs:plotArea3D>
  <cs:seriesAxis>
    <cs:lnRef idx="1">
      <a:sysClr val="windowText" lastClr="000000">
        <a:tint val="75000"/>
      </a:sysClr>
    </cs:lnRef>
    <cs:fillRef idx="0"/>
    <cs:effectRef idx="0"/>
    <cs:fontRef idx="minor">
      <a:sysClr val="windowText" lastClr="000000"/>
    </cs:fontRef>
    <cs:spPr>
      <a:ln>
        <a:round/>
      </a:ln>
    </cs:spPr>
    <cs:defRPr sz="1000" kern="1200"/>
  </cs:seriesAxis>
  <cs:seriesLine>
    <cs:lnRef idx="1">
      <a:sysClr val="windowText" lastClr="000000"/>
    </cs:lnRef>
    <cs:fillRef idx="0"/>
    <cs:effectRef idx="0"/>
    <cs:fontRef idx="minor">
      <a:sysClr val="windowText" lastClr="000000"/>
    </cs:fontRef>
    <cs:spPr>
      <a:ln>
        <a:round/>
      </a:ln>
    </cs:spPr>
  </cs:seriesLine>
  <cs:title>
    <cs:lnRef idx="0"/>
    <cs:fillRef idx="0"/>
    <cs:effectRef idx="0"/>
    <cs:fontRef idx="minor">
      <a:sysClr val="windowText" lastClr="000000"/>
    </cs:fontRef>
    <cs:defRPr sz="1800" b="1" kern="1200"/>
  </cs:title>
  <cs:trendline>
    <cs:lnRef idx="1">
      <a:sysClr val="windowText" lastClr="000000"/>
    </cs:lnRef>
    <cs:fillRef idx="0"/>
    <cs:effectRef idx="0"/>
    <cs:fontRef idx="minor">
      <a:sysClr val="windowText" lastClr="000000"/>
    </cs:fontRef>
    <cs:spPr>
      <a:ln cap="rnd">
        <a:round/>
      </a:ln>
    </cs:spPr>
  </cs:trendline>
  <cs:trendlineLabel>
    <cs:lnRef idx="0"/>
    <cs:fillRef idx="0"/>
    <cs:effectRef idx="0"/>
    <cs:fontRef idx="minor">
      <a:sysClr val="windowText" lastClr="000000"/>
    </cs:fontRef>
    <cs:defRPr sz="1000" kern="1200"/>
  </cs:trendlineLabel>
  <cs:upBar>
    <cs:lnRef idx="1">
      <a:sysClr val="windowText" lastClr="000000"/>
    </cs:lnRef>
    <cs:fillRef idx="1" mods="ignoreCSTransforms">
      <cs:styleClr val="0">
        <a:tint val="25000"/>
      </cs:styleClr>
    </cs:fillRef>
    <cs:effectRef idx="0"/>
    <cs:fontRef idx="minor">
      <a:sysClr val="windowText" lastClr="000000"/>
    </cs:fontRef>
    <cs:spPr>
      <a:ln>
        <a:round/>
      </a:ln>
    </cs:spPr>
  </cs:upBar>
  <cs:valueAxis>
    <cs:lnRef idx="1">
      <a:sysClr val="windowText" lastClr="000000">
        <a:tint val="75000"/>
      </a:sysClr>
    </cs:lnRef>
    <cs:fillRef idx="0"/>
    <cs:effectRef idx="0"/>
    <cs:fontRef idx="minor">
      <a:sysClr val="windowText" lastClr="000000"/>
    </cs:fontRef>
    <cs:spPr>
      <a:ln>
        <a:round/>
      </a:ln>
    </cs:spPr>
    <cs:defRPr sz="1000" kern="1200"/>
  </cs:valueAxis>
  <cs:wall>
    <cs:lnRef idx="0"/>
    <cs:fillRef idx="0"/>
    <cs:effectRef idx="0"/>
    <cs:fontRef idx="minor">
      <a:sysClr val="windowText" lastClr="000000"/>
    </cs:fontRef>
  </cs:wall>
</cs:chartStyle>
</file>

<file path=word/charts/style48.xml><?xml version="1.0" encoding="utf-8"?>
<cs:chartStyle xmlns:cs="http://schemas.microsoft.com/office/drawing/2012/chartStyle" xmlns:a="http://schemas.openxmlformats.org/drawingml/2006/main" id="107">
  <cs:axisTitle>
    <cs:lnRef idx="0"/>
    <cs:fillRef idx="0"/>
    <cs:effectRef idx="0"/>
    <cs:fontRef idx="minor">
      <a:sysClr val="windowText" lastClr="000000"/>
    </cs:fontRef>
    <cs:defRPr sz="1000" b="1" kern="1200"/>
  </cs:axisTitle>
  <cs:categoryAxis>
    <cs:lnRef idx="1">
      <a:sysClr val="windowText" lastClr="000000">
        <a:tint val="75000"/>
      </a:sysClr>
    </cs:lnRef>
    <cs:fillRef idx="0"/>
    <cs:effectRef idx="0"/>
    <cs:fontRef idx="minor">
      <a:sysClr val="windowText" lastClr="000000"/>
    </cs:fontRef>
    <cs:spPr>
      <a:ln>
        <a:round/>
      </a:ln>
    </cs:spPr>
    <cs:defRPr sz="1000" kern="1200"/>
  </cs:categoryAxis>
  <cs:chartArea mods="allowNoFillOverride allowNoLineOverride">
    <cs:lnRef idx="1">
      <a:sysClr val="windowText" lastClr="000000">
        <a:tint val="75000"/>
      </a:sysClr>
    </cs:lnRef>
    <cs:fillRef idx="1">
      <a:sysClr val="window" lastClr="FFFFFF"/>
    </cs:fillRef>
    <cs:effectRef idx="0"/>
    <cs:fontRef idx="minor">
      <a:sysClr val="windowText" lastClr="000000"/>
    </cs:fontRef>
    <cs:spPr>
      <a:ln>
        <a:round/>
      </a:ln>
    </cs:spPr>
    <cs:defRPr sz="1000" kern="1200"/>
  </cs:chartArea>
  <cs:dataLabel>
    <cs:lnRef idx="0"/>
    <cs:fillRef idx="0"/>
    <cs:effectRef idx="0"/>
    <cs:fontRef idx="minor">
      <a:sysClr val="windowText" lastClr="000000"/>
    </cs:fontRef>
    <cs:defRPr sz="1000" kern="1200"/>
  </cs:dataLabel>
  <cs:dataLabelCallout>
    <cs:lnRef idx="0"/>
    <cs:fillRef idx="0"/>
    <cs:effectRef idx="0"/>
    <cs:fontRef idx="minor">
      <a:sysClr val="windowText" lastClr="000000"/>
    </cs:fontRef>
    <cs:spPr>
      <a:solidFill>
        <a:sysClr val="window" lastClr="FFFFFF"/>
      </a:solidFill>
      <a:ln>
        <a:solidFill>
          <a:sysClr val="windowText" lastClr="000000">
            <a:lumMod val="65000"/>
            <a:lumOff val="35000"/>
          </a:sysClr>
        </a:solidFill>
      </a:ln>
    </cs:spPr>
    <cs:defRPr sz="1000" kern="1200"/>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1">
      <cs:styleClr val="auto"/>
    </cs:lnRef>
    <cs:lineWidthScale>3</cs:lineWidthScale>
    <cs:fillRef idx="0"/>
    <cs:effectRef idx="0"/>
    <cs:fontRef idx="minor">
      <a:sysClr val="windowText" lastClr="000000"/>
    </cs:fontRef>
    <cs:spPr>
      <a:ln cap="rnd">
        <a:round/>
      </a:ln>
    </cs:spPr>
  </cs:dataPointLine>
  <cs:dataPointMarker>
    <cs:lnRef idx="1">
      <cs:styleClr val="auto"/>
    </cs:lnRef>
    <cs:fillRef idx="1">
      <cs:styleClr val="auto"/>
    </cs:fillRef>
    <cs:effectRef idx="0"/>
    <cs:fontRef idx="minor">
      <a:sysClr val="windowText" lastClr="000000"/>
    </cs:fontRef>
    <cs:spPr>
      <a:ln>
        <a:round/>
      </a:ln>
    </cs:spPr>
  </cs:dataPointMarker>
  <cs:dataPointMarkerLayout/>
  <cs:dataPointWireframe>
    <cs:lnRef idx="1">
      <cs:styleClr val="auto"/>
    </cs:lnRef>
    <cs:fillRef idx="0"/>
    <cs:effectRef idx="0"/>
    <cs:fontRef idx="minor">
      <a:sysClr val="windowText" lastClr="000000"/>
    </cs:fontRef>
    <cs:spPr>
      <a:ln>
        <a:round/>
      </a:ln>
    </cs:spPr>
  </cs:dataPointWireframe>
  <cs:dataTable>
    <cs:lnRef idx="1">
      <a:sysClr val="windowText" lastClr="000000">
        <a:tint val="75000"/>
      </a:sysClr>
    </cs:lnRef>
    <cs:fillRef idx="0"/>
    <cs:effectRef idx="0"/>
    <cs:fontRef idx="minor">
      <a:sysClr val="windowText" lastClr="000000"/>
    </cs:fontRef>
    <cs:spPr>
      <a:ln>
        <a:round/>
      </a:ln>
    </cs:spPr>
    <cs:defRPr sz="1000" kern="1200"/>
  </cs:dataTable>
  <cs:downBar>
    <cs:lnRef idx="1">
      <a:sysClr val="windowText" lastClr="000000"/>
    </cs:lnRef>
    <cs:fillRef idx="1" mods="ignoreCSTransforms">
      <cs:styleClr val="0">
        <a:shade val="25000"/>
      </cs:styleClr>
    </cs:fillRef>
    <cs:effectRef idx="0"/>
    <cs:fontRef idx="minor">
      <a:sysClr val="windowText" lastClr="000000"/>
    </cs:fontRef>
    <cs:spPr>
      <a:ln>
        <a:round/>
      </a:ln>
    </cs:spPr>
  </cs:downBar>
  <cs:dropLine>
    <cs:lnRef idx="1">
      <a:sysClr val="windowText" lastClr="000000"/>
    </cs:lnRef>
    <cs:fillRef idx="0"/>
    <cs:effectRef idx="0"/>
    <cs:fontRef idx="minor">
      <a:sysClr val="windowText" lastClr="000000"/>
    </cs:fontRef>
    <cs:spPr>
      <a:ln>
        <a:round/>
      </a:ln>
    </cs:spPr>
  </cs:dropLine>
  <cs:errorBar>
    <cs:lnRef idx="1">
      <a:sysClr val="windowText" lastClr="000000"/>
    </cs:lnRef>
    <cs:fillRef idx="1">
      <a:sysClr val="windowText" lastClr="000000"/>
    </cs:fillRef>
    <cs:effectRef idx="0"/>
    <cs:fontRef idx="minor">
      <a:sysClr val="windowText" lastClr="000000"/>
    </cs:fontRef>
    <cs:spPr>
      <a:ln>
        <a:round/>
      </a:ln>
    </cs:spPr>
  </cs:errorBar>
  <cs:floor>
    <cs:lnRef idx="1">
      <a:sysClr val="windowText" lastClr="000000">
        <a:tint val="75000"/>
      </a:sysClr>
    </cs:lnRef>
    <cs:fillRef idx="0"/>
    <cs:effectRef idx="0"/>
    <cs:fontRef idx="minor">
      <a:sysClr val="windowText" lastClr="000000"/>
    </cs:fontRef>
    <cs:spPr>
      <a:ln>
        <a:round/>
      </a:ln>
    </cs:spPr>
  </cs:floor>
  <cs:gridlineMajor>
    <cs:lnRef idx="1">
      <a:sysClr val="windowText" lastClr="000000">
        <a:tint val="75000"/>
      </a:sysClr>
    </cs:lnRef>
    <cs:fillRef idx="0"/>
    <cs:effectRef idx="0"/>
    <cs:fontRef idx="minor">
      <a:sysClr val="windowText" lastClr="000000"/>
    </cs:fontRef>
    <cs:spPr>
      <a:ln>
        <a:round/>
      </a:ln>
    </cs:spPr>
  </cs:gridlineMajor>
  <cs:gridlineMinor>
    <cs:lnRef idx="1">
      <a:sysClr val="windowText" lastClr="000000">
        <a:tint val="50000"/>
      </a:sysClr>
    </cs:lnRef>
    <cs:fillRef idx="0"/>
    <cs:effectRef idx="0"/>
    <cs:fontRef idx="minor">
      <a:sysClr val="windowText" lastClr="000000"/>
    </cs:fontRef>
    <cs:spPr>
      <a:ln>
        <a:round/>
      </a:ln>
    </cs:spPr>
  </cs:gridlineMinor>
  <cs:hiLoLine>
    <cs:lnRef idx="1">
      <a:sysClr val="windowText" lastClr="000000"/>
    </cs:lnRef>
    <cs:fillRef idx="0"/>
    <cs:effectRef idx="0"/>
    <cs:fontRef idx="minor">
      <a:sysClr val="windowText" lastClr="000000"/>
    </cs:fontRef>
    <cs:spPr>
      <a:ln>
        <a:round/>
      </a:ln>
    </cs:spPr>
  </cs:hiLoLine>
  <cs:leaderLine>
    <cs:lnRef idx="1">
      <a:sysClr val="windowText" lastClr="000000"/>
    </cs:lnRef>
    <cs:fillRef idx="0"/>
    <cs:effectRef idx="0"/>
    <cs:fontRef idx="minor">
      <a:sysClr val="windowText" lastClr="000000"/>
    </cs:fontRef>
    <cs:spPr>
      <a:ln>
        <a:round/>
      </a:ln>
    </cs:spPr>
  </cs:leaderLine>
  <cs:legend>
    <cs:lnRef idx="0"/>
    <cs:fillRef idx="0"/>
    <cs:effectRef idx="0"/>
    <cs:fontRef idx="minor">
      <a:sysClr val="windowText" lastClr="000000"/>
    </cs:fontRef>
    <cs:defRPr sz="1000" kern="1200"/>
  </cs:legend>
  <cs:plotArea mods="allowNoFillOverride allowNoLineOverride">
    <cs:lnRef idx="0"/>
    <cs:fillRef idx="1">
      <a:sysClr val="window" lastClr="FFFFFF"/>
    </cs:fillRef>
    <cs:effectRef idx="0"/>
    <cs:fontRef idx="minor">
      <a:sysClr val="windowText" lastClr="000000"/>
    </cs:fontRef>
  </cs:plotArea>
  <cs:plotArea3D>
    <cs:lnRef idx="0"/>
    <cs:fillRef idx="0"/>
    <cs:effectRef idx="0"/>
    <cs:fontRef idx="minor">
      <a:sysClr val="windowText" lastClr="000000"/>
    </cs:fontRef>
  </cs:plotArea3D>
  <cs:seriesAxis>
    <cs:lnRef idx="1">
      <a:sysClr val="windowText" lastClr="000000">
        <a:tint val="75000"/>
      </a:sysClr>
    </cs:lnRef>
    <cs:fillRef idx="0"/>
    <cs:effectRef idx="0"/>
    <cs:fontRef idx="minor">
      <a:sysClr val="windowText" lastClr="000000"/>
    </cs:fontRef>
    <cs:spPr>
      <a:ln>
        <a:round/>
      </a:ln>
    </cs:spPr>
    <cs:defRPr sz="1000" kern="1200"/>
  </cs:seriesAxis>
  <cs:seriesLine>
    <cs:lnRef idx="1">
      <a:sysClr val="windowText" lastClr="000000"/>
    </cs:lnRef>
    <cs:fillRef idx="0"/>
    <cs:effectRef idx="0"/>
    <cs:fontRef idx="minor">
      <a:sysClr val="windowText" lastClr="000000"/>
    </cs:fontRef>
    <cs:spPr>
      <a:ln>
        <a:round/>
      </a:ln>
    </cs:spPr>
  </cs:seriesLine>
  <cs:title>
    <cs:lnRef idx="0"/>
    <cs:fillRef idx="0"/>
    <cs:effectRef idx="0"/>
    <cs:fontRef idx="minor">
      <a:sysClr val="windowText" lastClr="000000"/>
    </cs:fontRef>
    <cs:defRPr sz="1800" b="1" kern="1200"/>
  </cs:title>
  <cs:trendline>
    <cs:lnRef idx="1">
      <a:sysClr val="windowText" lastClr="000000"/>
    </cs:lnRef>
    <cs:fillRef idx="0"/>
    <cs:effectRef idx="0"/>
    <cs:fontRef idx="minor">
      <a:sysClr val="windowText" lastClr="000000"/>
    </cs:fontRef>
    <cs:spPr>
      <a:ln cap="rnd">
        <a:round/>
      </a:ln>
    </cs:spPr>
  </cs:trendline>
  <cs:trendlineLabel>
    <cs:lnRef idx="0"/>
    <cs:fillRef idx="0"/>
    <cs:effectRef idx="0"/>
    <cs:fontRef idx="minor">
      <a:sysClr val="windowText" lastClr="000000"/>
    </cs:fontRef>
    <cs:defRPr sz="1000" kern="1200"/>
  </cs:trendlineLabel>
  <cs:upBar>
    <cs:lnRef idx="1">
      <a:sysClr val="windowText" lastClr="000000"/>
    </cs:lnRef>
    <cs:fillRef idx="1" mods="ignoreCSTransforms">
      <cs:styleClr val="0">
        <a:tint val="25000"/>
      </cs:styleClr>
    </cs:fillRef>
    <cs:effectRef idx="0"/>
    <cs:fontRef idx="minor">
      <a:sysClr val="windowText" lastClr="000000"/>
    </cs:fontRef>
    <cs:spPr>
      <a:ln>
        <a:round/>
      </a:ln>
    </cs:spPr>
  </cs:upBar>
  <cs:valueAxis>
    <cs:lnRef idx="1">
      <a:sysClr val="windowText" lastClr="000000">
        <a:tint val="75000"/>
      </a:sysClr>
    </cs:lnRef>
    <cs:fillRef idx="0"/>
    <cs:effectRef idx="0"/>
    <cs:fontRef idx="minor">
      <a:sysClr val="windowText" lastClr="000000"/>
    </cs:fontRef>
    <cs:spPr>
      <a:ln>
        <a:round/>
      </a:ln>
    </cs:spPr>
    <cs:defRPr sz="1000" kern="1200"/>
  </cs:valueAxis>
  <cs:wall>
    <cs:lnRef idx="0"/>
    <cs:fillRef idx="0"/>
    <cs:effectRef idx="0"/>
    <cs:fontRef idx="minor">
      <a:sysClr val="windowText" lastClr="000000"/>
    </cs:fontRef>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75000"/>
          <a:lumOff val="25000"/>
        </a:sysClr>
      </a:solidFill>
      <a:ln w="9525" cap="flat" cmpd="sng" algn="ctr">
        <a:solidFill>
          <a:sysClr val="windowText" lastClr="000000">
            <a:lumMod val="65000"/>
            <a:lumOff val="35000"/>
          </a:sysClr>
        </a:solidFill>
        <a:round/>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50000"/>
            <a:lumOff val="50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cap="flat" cmpd="sng" algn="ctr">
        <a:solidFill>
          <a:sysClr val="windowText" lastClr="000000">
            <a:lumMod val="65000"/>
            <a:lumOff val="35000"/>
          </a:sysClr>
        </a:solidFill>
        <a:round/>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ysClr val="windowText" lastClr="000000"/>
    </cs:fontRef>
    <cs:defRPr sz="1000" b="1" kern="1200"/>
  </cs:axisTitle>
  <cs:categoryAxis>
    <cs:lnRef idx="1">
      <a:sysClr val="windowText" lastClr="000000">
        <a:tint val="75000"/>
      </a:sysClr>
    </cs:lnRef>
    <cs:fillRef idx="0"/>
    <cs:effectRef idx="0"/>
    <cs:fontRef idx="minor">
      <a:sysClr val="windowText" lastClr="000000"/>
    </cs:fontRef>
    <cs:spPr>
      <a:ln>
        <a:round/>
      </a:ln>
    </cs:spPr>
    <cs:defRPr sz="1000" kern="1200"/>
  </cs:categoryAxis>
  <cs:chartArea mods="allowNoFillOverride allowNoLineOverride">
    <cs:lnRef idx="1">
      <a:sysClr val="windowText" lastClr="000000">
        <a:tint val="75000"/>
      </a:sysClr>
    </cs:lnRef>
    <cs:fillRef idx="1">
      <a:sysClr val="window" lastClr="FFFFFF"/>
    </cs:fillRef>
    <cs:effectRef idx="0"/>
    <cs:fontRef idx="minor">
      <a:sysClr val="windowText" lastClr="000000"/>
    </cs:fontRef>
    <cs:spPr>
      <a:ln>
        <a:round/>
      </a:ln>
    </cs:spPr>
    <cs:defRPr sz="1000" kern="1200"/>
  </cs:chartArea>
  <cs:dataLabel>
    <cs:lnRef idx="0"/>
    <cs:fillRef idx="0"/>
    <cs:effectRef idx="0"/>
    <cs:fontRef idx="minor">
      <a:sysClr val="windowText" lastClr="000000"/>
    </cs:fontRef>
    <cs:defRPr sz="1000" kern="1200"/>
  </cs:dataLabel>
  <cs:dataLabelCallout>
    <cs:lnRef idx="0"/>
    <cs:fillRef idx="0"/>
    <cs:effectRef idx="0"/>
    <cs:fontRef idx="minor">
      <a:sysClr val="windowText" lastClr="000000"/>
    </cs:fontRef>
    <cs:spPr>
      <a:solidFill>
        <a:sysClr val="window" lastClr="FFFFFF"/>
      </a:solidFill>
      <a:ln>
        <a:solidFill>
          <a:sysClr val="windowText" lastClr="000000">
            <a:lumMod val="65000"/>
            <a:lumOff val="35000"/>
          </a:sysClr>
        </a:solidFill>
      </a:ln>
    </cs:spPr>
    <cs:defRPr sz="1000" kern="1200"/>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1">
      <cs:styleClr val="auto"/>
    </cs:lnRef>
    <cs:lineWidthScale>3</cs:lineWidthScale>
    <cs:fillRef idx="0"/>
    <cs:effectRef idx="0"/>
    <cs:fontRef idx="minor">
      <a:sysClr val="windowText" lastClr="000000"/>
    </cs:fontRef>
    <cs:spPr>
      <a:ln cap="rnd">
        <a:round/>
      </a:ln>
    </cs:spPr>
  </cs:dataPointLine>
  <cs:dataPointMarker>
    <cs:lnRef idx="1">
      <cs:styleClr val="auto"/>
    </cs:lnRef>
    <cs:fillRef idx="1">
      <cs:styleClr val="auto"/>
    </cs:fillRef>
    <cs:effectRef idx="0"/>
    <cs:fontRef idx="minor">
      <a:sysClr val="windowText" lastClr="000000"/>
    </cs:fontRef>
    <cs:spPr>
      <a:ln>
        <a:round/>
      </a:ln>
    </cs:spPr>
  </cs:dataPointMarker>
  <cs:dataPointMarkerLayout/>
  <cs:dataPointWireframe>
    <cs:lnRef idx="1">
      <cs:styleClr val="auto"/>
    </cs:lnRef>
    <cs:fillRef idx="0"/>
    <cs:effectRef idx="0"/>
    <cs:fontRef idx="minor">
      <a:sysClr val="windowText" lastClr="000000"/>
    </cs:fontRef>
    <cs:spPr>
      <a:ln>
        <a:round/>
      </a:ln>
    </cs:spPr>
  </cs:dataPointWireframe>
  <cs:dataTable>
    <cs:lnRef idx="1">
      <a:sysClr val="windowText" lastClr="000000">
        <a:tint val="75000"/>
      </a:sysClr>
    </cs:lnRef>
    <cs:fillRef idx="0"/>
    <cs:effectRef idx="0"/>
    <cs:fontRef idx="minor">
      <a:sysClr val="windowText" lastClr="000000"/>
    </cs:fontRef>
    <cs:spPr>
      <a:ln>
        <a:round/>
      </a:ln>
    </cs:spPr>
    <cs:defRPr sz="1000" kern="1200"/>
  </cs:dataTable>
  <cs:downBar>
    <cs:lnRef idx="1">
      <a:sysClr val="windowText" lastClr="000000"/>
    </cs:lnRef>
    <cs:fillRef idx="1">
      <a:sysClr val="windowText" lastClr="000000">
        <a:tint val="95000"/>
      </a:sysClr>
    </cs:fillRef>
    <cs:effectRef idx="0"/>
    <cs:fontRef idx="minor">
      <a:sysClr val="windowText" lastClr="000000"/>
    </cs:fontRef>
    <cs:spPr>
      <a:ln>
        <a:round/>
      </a:ln>
    </cs:spPr>
  </cs:downBar>
  <cs:dropLine>
    <cs:lnRef idx="1">
      <a:sysClr val="windowText" lastClr="000000"/>
    </cs:lnRef>
    <cs:fillRef idx="0"/>
    <cs:effectRef idx="0"/>
    <cs:fontRef idx="minor">
      <a:sysClr val="windowText" lastClr="000000"/>
    </cs:fontRef>
    <cs:spPr>
      <a:ln>
        <a:round/>
      </a:ln>
    </cs:spPr>
  </cs:dropLine>
  <cs:errorBar>
    <cs:lnRef idx="1">
      <a:sysClr val="windowText" lastClr="000000"/>
    </cs:lnRef>
    <cs:fillRef idx="1">
      <a:sysClr val="windowText" lastClr="000000"/>
    </cs:fillRef>
    <cs:effectRef idx="0"/>
    <cs:fontRef idx="minor">
      <a:sysClr val="windowText" lastClr="000000"/>
    </cs:fontRef>
    <cs:spPr>
      <a:ln>
        <a:round/>
      </a:ln>
    </cs:spPr>
  </cs:errorBar>
  <cs:floor>
    <cs:lnRef idx="1">
      <a:sysClr val="windowText" lastClr="000000">
        <a:tint val="75000"/>
      </a:sysClr>
    </cs:lnRef>
    <cs:fillRef idx="0"/>
    <cs:effectRef idx="0"/>
    <cs:fontRef idx="minor">
      <a:sysClr val="windowText" lastClr="000000"/>
    </cs:fontRef>
    <cs:spPr>
      <a:ln>
        <a:round/>
      </a:ln>
    </cs:spPr>
  </cs:floor>
  <cs:gridlineMajor>
    <cs:lnRef idx="1">
      <a:sysClr val="windowText" lastClr="000000">
        <a:tint val="75000"/>
      </a:sysClr>
    </cs:lnRef>
    <cs:fillRef idx="0"/>
    <cs:effectRef idx="0"/>
    <cs:fontRef idx="minor">
      <a:sysClr val="windowText" lastClr="000000"/>
    </cs:fontRef>
    <cs:spPr>
      <a:ln>
        <a:round/>
      </a:ln>
    </cs:spPr>
  </cs:gridlineMajor>
  <cs:gridlineMinor>
    <cs:lnRef idx="1">
      <a:sysClr val="windowText" lastClr="000000">
        <a:tint val="50000"/>
      </a:sysClr>
    </cs:lnRef>
    <cs:fillRef idx="0"/>
    <cs:effectRef idx="0"/>
    <cs:fontRef idx="minor">
      <a:sysClr val="windowText" lastClr="000000"/>
    </cs:fontRef>
    <cs:spPr>
      <a:ln>
        <a:round/>
      </a:ln>
    </cs:spPr>
  </cs:gridlineMinor>
  <cs:hiLoLine>
    <cs:lnRef idx="1">
      <a:sysClr val="windowText" lastClr="000000"/>
    </cs:lnRef>
    <cs:fillRef idx="0"/>
    <cs:effectRef idx="0"/>
    <cs:fontRef idx="minor">
      <a:sysClr val="windowText" lastClr="000000"/>
    </cs:fontRef>
    <cs:spPr>
      <a:ln>
        <a:round/>
      </a:ln>
    </cs:spPr>
  </cs:hiLoLine>
  <cs:leaderLine>
    <cs:lnRef idx="1">
      <a:sysClr val="windowText" lastClr="000000"/>
    </cs:lnRef>
    <cs:fillRef idx="0"/>
    <cs:effectRef idx="0"/>
    <cs:fontRef idx="minor">
      <a:sysClr val="windowText" lastClr="000000"/>
    </cs:fontRef>
    <cs:spPr>
      <a:ln>
        <a:round/>
      </a:ln>
    </cs:spPr>
  </cs:leaderLine>
  <cs:legend>
    <cs:lnRef idx="0"/>
    <cs:fillRef idx="0"/>
    <cs:effectRef idx="0"/>
    <cs:fontRef idx="minor">
      <a:sysClr val="windowText" lastClr="000000"/>
    </cs:fontRef>
    <cs:defRPr sz="1000" kern="1200"/>
  </cs:legend>
  <cs:plotArea mods="allowNoFillOverride allowNoLineOverride">
    <cs:lnRef idx="0"/>
    <cs:fillRef idx="1">
      <a:sysClr val="window" lastClr="FFFFFF"/>
    </cs:fillRef>
    <cs:effectRef idx="0"/>
    <cs:fontRef idx="minor">
      <a:sysClr val="windowText" lastClr="000000"/>
    </cs:fontRef>
  </cs:plotArea>
  <cs:plotArea3D>
    <cs:lnRef idx="0"/>
    <cs:fillRef idx="0"/>
    <cs:effectRef idx="0"/>
    <cs:fontRef idx="minor">
      <a:sysClr val="windowText" lastClr="000000"/>
    </cs:fontRef>
  </cs:plotArea3D>
  <cs:seriesAxis>
    <cs:lnRef idx="1">
      <a:sysClr val="windowText" lastClr="000000">
        <a:tint val="75000"/>
      </a:sysClr>
    </cs:lnRef>
    <cs:fillRef idx="0"/>
    <cs:effectRef idx="0"/>
    <cs:fontRef idx="minor">
      <a:sysClr val="windowText" lastClr="000000"/>
    </cs:fontRef>
    <cs:spPr>
      <a:ln>
        <a:round/>
      </a:ln>
    </cs:spPr>
    <cs:defRPr sz="1000" kern="1200"/>
  </cs:seriesAxis>
  <cs:seriesLine>
    <cs:lnRef idx="1">
      <a:sysClr val="windowText" lastClr="000000"/>
    </cs:lnRef>
    <cs:fillRef idx="0"/>
    <cs:effectRef idx="0"/>
    <cs:fontRef idx="minor">
      <a:sysClr val="windowText" lastClr="000000"/>
    </cs:fontRef>
    <cs:spPr>
      <a:ln>
        <a:round/>
      </a:ln>
    </cs:spPr>
  </cs:seriesLine>
  <cs:title>
    <cs:lnRef idx="0"/>
    <cs:fillRef idx="0"/>
    <cs:effectRef idx="0"/>
    <cs:fontRef idx="minor">
      <a:sysClr val="windowText" lastClr="000000"/>
    </cs:fontRef>
    <cs:defRPr sz="1800" b="1" kern="1200"/>
  </cs:title>
  <cs:trendline>
    <cs:lnRef idx="1">
      <a:sysClr val="windowText" lastClr="000000"/>
    </cs:lnRef>
    <cs:fillRef idx="0"/>
    <cs:effectRef idx="0"/>
    <cs:fontRef idx="minor">
      <a:sysClr val="windowText" lastClr="000000"/>
    </cs:fontRef>
    <cs:spPr>
      <a:ln cap="rnd">
        <a:round/>
      </a:ln>
    </cs:spPr>
  </cs:trendline>
  <cs:trendlineLabel>
    <cs:lnRef idx="0"/>
    <cs:fillRef idx="0"/>
    <cs:effectRef idx="0"/>
    <cs:fontRef idx="minor">
      <a:sysClr val="windowText" lastClr="000000"/>
    </cs:fontRef>
    <cs:defRPr sz="1000" kern="1200"/>
  </cs:trendlineLabel>
  <cs:upBar>
    <cs:lnRef idx="1">
      <a:sysClr val="windowText" lastClr="000000"/>
    </cs:lnRef>
    <cs:fillRef idx="1">
      <a:sysClr val="windowText" lastClr="000000">
        <a:tint val="5000"/>
      </a:sysClr>
    </cs:fillRef>
    <cs:effectRef idx="0"/>
    <cs:fontRef idx="minor">
      <a:sysClr val="windowText" lastClr="000000"/>
    </cs:fontRef>
    <cs:spPr>
      <a:ln>
        <a:round/>
      </a:ln>
    </cs:spPr>
  </cs:upBar>
  <cs:valueAxis>
    <cs:lnRef idx="1">
      <a:sysClr val="windowText" lastClr="000000">
        <a:tint val="75000"/>
      </a:sysClr>
    </cs:lnRef>
    <cs:fillRef idx="0"/>
    <cs:effectRef idx="0"/>
    <cs:fontRef idx="minor">
      <a:sysClr val="windowText" lastClr="000000"/>
    </cs:fontRef>
    <cs:spPr>
      <a:ln>
        <a:round/>
      </a:ln>
    </cs:spPr>
    <cs:defRPr sz="1000" kern="1200"/>
  </cs:valueAxis>
  <cs:wall>
    <cs:lnRef idx="0"/>
    <cs:fillRef idx="0"/>
    <cs:effectRef idx="0"/>
    <cs:fontRef idx="minor">
      <a:sysClr val="windowText" lastClr="000000"/>
    </cs:fontRef>
  </cs:wall>
</cs:chartStyle>
</file>

<file path=word/charts/style7.xml><?xml version="1.0" encoding="utf-8"?>
<cs:chartStyle xmlns:cs="http://schemas.microsoft.com/office/drawing/2012/chartStyle" xmlns:a="http://schemas.openxmlformats.org/drawingml/2006/main" id="107">
  <cs:axisTitle>
    <cs:lnRef idx="0"/>
    <cs:fillRef idx="0"/>
    <cs:effectRef idx="0"/>
    <cs:fontRef idx="minor">
      <a:sysClr val="windowText" lastClr="000000"/>
    </cs:fontRef>
    <cs:defRPr sz="1000" b="1" kern="1200"/>
  </cs:axisTitle>
  <cs:categoryAxis>
    <cs:lnRef idx="1">
      <a:sysClr val="windowText" lastClr="000000">
        <a:tint val="75000"/>
      </a:sysClr>
    </cs:lnRef>
    <cs:fillRef idx="0"/>
    <cs:effectRef idx="0"/>
    <cs:fontRef idx="minor">
      <a:sysClr val="windowText" lastClr="000000"/>
    </cs:fontRef>
    <cs:spPr>
      <a:ln>
        <a:round/>
      </a:ln>
    </cs:spPr>
    <cs:defRPr sz="1000" kern="1200"/>
  </cs:categoryAxis>
  <cs:chartArea mods="allowNoFillOverride allowNoLineOverride">
    <cs:lnRef idx="1">
      <a:sysClr val="windowText" lastClr="000000">
        <a:tint val="75000"/>
      </a:sysClr>
    </cs:lnRef>
    <cs:fillRef idx="1">
      <a:sysClr val="window" lastClr="FFFFFF"/>
    </cs:fillRef>
    <cs:effectRef idx="0"/>
    <cs:fontRef idx="minor">
      <a:sysClr val="windowText" lastClr="000000"/>
    </cs:fontRef>
    <cs:spPr>
      <a:ln>
        <a:round/>
      </a:ln>
    </cs:spPr>
    <cs:defRPr sz="1000" kern="1200"/>
  </cs:chartArea>
  <cs:dataLabel>
    <cs:lnRef idx="0"/>
    <cs:fillRef idx="0"/>
    <cs:effectRef idx="0"/>
    <cs:fontRef idx="minor">
      <a:sysClr val="windowText" lastClr="000000"/>
    </cs:fontRef>
    <cs:defRPr sz="1000" kern="1200"/>
  </cs:dataLabel>
  <cs:dataLabelCallout>
    <cs:lnRef idx="0"/>
    <cs:fillRef idx="0"/>
    <cs:effectRef idx="0"/>
    <cs:fontRef idx="minor">
      <a:sysClr val="windowText" lastClr="000000"/>
    </cs:fontRef>
    <cs:spPr>
      <a:solidFill>
        <a:sysClr val="window" lastClr="FFFFFF"/>
      </a:solidFill>
      <a:ln>
        <a:solidFill>
          <a:sysClr val="windowText" lastClr="000000">
            <a:lumMod val="65000"/>
            <a:lumOff val="35000"/>
          </a:sysClr>
        </a:solidFill>
      </a:ln>
    </cs:spPr>
    <cs:defRPr sz="1000" kern="1200"/>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1">
      <cs:styleClr val="auto"/>
    </cs:lnRef>
    <cs:lineWidthScale>3</cs:lineWidthScale>
    <cs:fillRef idx="0"/>
    <cs:effectRef idx="0"/>
    <cs:fontRef idx="minor">
      <a:sysClr val="windowText" lastClr="000000"/>
    </cs:fontRef>
    <cs:spPr>
      <a:ln cap="rnd">
        <a:round/>
      </a:ln>
    </cs:spPr>
  </cs:dataPointLine>
  <cs:dataPointMarker>
    <cs:lnRef idx="1">
      <cs:styleClr val="auto"/>
    </cs:lnRef>
    <cs:fillRef idx="1">
      <cs:styleClr val="auto"/>
    </cs:fillRef>
    <cs:effectRef idx="0"/>
    <cs:fontRef idx="minor">
      <a:sysClr val="windowText" lastClr="000000"/>
    </cs:fontRef>
    <cs:spPr>
      <a:ln>
        <a:round/>
      </a:ln>
    </cs:spPr>
  </cs:dataPointMarker>
  <cs:dataPointMarkerLayout/>
  <cs:dataPointWireframe>
    <cs:lnRef idx="1">
      <cs:styleClr val="auto"/>
    </cs:lnRef>
    <cs:fillRef idx="0"/>
    <cs:effectRef idx="0"/>
    <cs:fontRef idx="minor">
      <a:sysClr val="windowText" lastClr="000000"/>
    </cs:fontRef>
    <cs:spPr>
      <a:ln>
        <a:round/>
      </a:ln>
    </cs:spPr>
  </cs:dataPointWireframe>
  <cs:dataTable>
    <cs:lnRef idx="1">
      <a:sysClr val="windowText" lastClr="000000">
        <a:tint val="75000"/>
      </a:sysClr>
    </cs:lnRef>
    <cs:fillRef idx="0"/>
    <cs:effectRef idx="0"/>
    <cs:fontRef idx="minor">
      <a:sysClr val="windowText" lastClr="000000"/>
    </cs:fontRef>
    <cs:spPr>
      <a:ln>
        <a:round/>
      </a:ln>
    </cs:spPr>
    <cs:defRPr sz="1000" kern="1200"/>
  </cs:dataTable>
  <cs:downBar>
    <cs:lnRef idx="1">
      <a:sysClr val="windowText" lastClr="000000"/>
    </cs:lnRef>
    <cs:fillRef idx="1" mods="ignoreCSTransforms">
      <cs:styleClr val="0">
        <a:shade val="25000"/>
      </cs:styleClr>
    </cs:fillRef>
    <cs:effectRef idx="0"/>
    <cs:fontRef idx="minor">
      <a:sysClr val="windowText" lastClr="000000"/>
    </cs:fontRef>
    <cs:spPr>
      <a:ln>
        <a:round/>
      </a:ln>
    </cs:spPr>
  </cs:downBar>
  <cs:dropLine>
    <cs:lnRef idx="1">
      <a:sysClr val="windowText" lastClr="000000"/>
    </cs:lnRef>
    <cs:fillRef idx="0"/>
    <cs:effectRef idx="0"/>
    <cs:fontRef idx="minor">
      <a:sysClr val="windowText" lastClr="000000"/>
    </cs:fontRef>
    <cs:spPr>
      <a:ln>
        <a:round/>
      </a:ln>
    </cs:spPr>
  </cs:dropLine>
  <cs:errorBar>
    <cs:lnRef idx="1">
      <a:sysClr val="windowText" lastClr="000000"/>
    </cs:lnRef>
    <cs:fillRef idx="1">
      <a:sysClr val="windowText" lastClr="000000"/>
    </cs:fillRef>
    <cs:effectRef idx="0"/>
    <cs:fontRef idx="minor">
      <a:sysClr val="windowText" lastClr="000000"/>
    </cs:fontRef>
    <cs:spPr>
      <a:ln>
        <a:round/>
      </a:ln>
    </cs:spPr>
  </cs:errorBar>
  <cs:floor>
    <cs:lnRef idx="1">
      <a:sysClr val="windowText" lastClr="000000">
        <a:tint val="75000"/>
      </a:sysClr>
    </cs:lnRef>
    <cs:fillRef idx="0"/>
    <cs:effectRef idx="0"/>
    <cs:fontRef idx="minor">
      <a:sysClr val="windowText" lastClr="000000"/>
    </cs:fontRef>
    <cs:spPr>
      <a:ln>
        <a:round/>
      </a:ln>
    </cs:spPr>
  </cs:floor>
  <cs:gridlineMajor>
    <cs:lnRef idx="1">
      <a:sysClr val="windowText" lastClr="000000">
        <a:tint val="75000"/>
      </a:sysClr>
    </cs:lnRef>
    <cs:fillRef idx="0"/>
    <cs:effectRef idx="0"/>
    <cs:fontRef idx="minor">
      <a:sysClr val="windowText" lastClr="000000"/>
    </cs:fontRef>
    <cs:spPr>
      <a:ln>
        <a:round/>
      </a:ln>
    </cs:spPr>
  </cs:gridlineMajor>
  <cs:gridlineMinor>
    <cs:lnRef idx="1">
      <a:sysClr val="windowText" lastClr="000000">
        <a:tint val="50000"/>
      </a:sysClr>
    </cs:lnRef>
    <cs:fillRef idx="0"/>
    <cs:effectRef idx="0"/>
    <cs:fontRef idx="minor">
      <a:sysClr val="windowText" lastClr="000000"/>
    </cs:fontRef>
    <cs:spPr>
      <a:ln>
        <a:round/>
      </a:ln>
    </cs:spPr>
  </cs:gridlineMinor>
  <cs:hiLoLine>
    <cs:lnRef idx="1">
      <a:sysClr val="windowText" lastClr="000000"/>
    </cs:lnRef>
    <cs:fillRef idx="0"/>
    <cs:effectRef idx="0"/>
    <cs:fontRef idx="minor">
      <a:sysClr val="windowText" lastClr="000000"/>
    </cs:fontRef>
    <cs:spPr>
      <a:ln>
        <a:round/>
      </a:ln>
    </cs:spPr>
  </cs:hiLoLine>
  <cs:leaderLine>
    <cs:lnRef idx="1">
      <a:sysClr val="windowText" lastClr="000000"/>
    </cs:lnRef>
    <cs:fillRef idx="0"/>
    <cs:effectRef idx="0"/>
    <cs:fontRef idx="minor">
      <a:sysClr val="windowText" lastClr="000000"/>
    </cs:fontRef>
    <cs:spPr>
      <a:ln>
        <a:round/>
      </a:ln>
    </cs:spPr>
  </cs:leaderLine>
  <cs:legend>
    <cs:lnRef idx="0"/>
    <cs:fillRef idx="0"/>
    <cs:effectRef idx="0"/>
    <cs:fontRef idx="minor">
      <a:sysClr val="windowText" lastClr="000000"/>
    </cs:fontRef>
    <cs:defRPr sz="1000" kern="1200"/>
  </cs:legend>
  <cs:plotArea mods="allowNoFillOverride allowNoLineOverride">
    <cs:lnRef idx="0"/>
    <cs:fillRef idx="1">
      <a:sysClr val="window" lastClr="FFFFFF"/>
    </cs:fillRef>
    <cs:effectRef idx="0"/>
    <cs:fontRef idx="minor">
      <a:sysClr val="windowText" lastClr="000000"/>
    </cs:fontRef>
  </cs:plotArea>
  <cs:plotArea3D>
    <cs:lnRef idx="0"/>
    <cs:fillRef idx="0"/>
    <cs:effectRef idx="0"/>
    <cs:fontRef idx="minor">
      <a:sysClr val="windowText" lastClr="000000"/>
    </cs:fontRef>
  </cs:plotArea3D>
  <cs:seriesAxis>
    <cs:lnRef idx="1">
      <a:sysClr val="windowText" lastClr="000000">
        <a:tint val="75000"/>
      </a:sysClr>
    </cs:lnRef>
    <cs:fillRef idx="0"/>
    <cs:effectRef idx="0"/>
    <cs:fontRef idx="minor">
      <a:sysClr val="windowText" lastClr="000000"/>
    </cs:fontRef>
    <cs:spPr>
      <a:ln>
        <a:round/>
      </a:ln>
    </cs:spPr>
    <cs:defRPr sz="1000" kern="1200"/>
  </cs:seriesAxis>
  <cs:seriesLine>
    <cs:lnRef idx="1">
      <a:sysClr val="windowText" lastClr="000000"/>
    </cs:lnRef>
    <cs:fillRef idx="0"/>
    <cs:effectRef idx="0"/>
    <cs:fontRef idx="minor">
      <a:sysClr val="windowText" lastClr="000000"/>
    </cs:fontRef>
    <cs:spPr>
      <a:ln>
        <a:round/>
      </a:ln>
    </cs:spPr>
  </cs:seriesLine>
  <cs:title>
    <cs:lnRef idx="0"/>
    <cs:fillRef idx="0"/>
    <cs:effectRef idx="0"/>
    <cs:fontRef idx="minor">
      <a:sysClr val="windowText" lastClr="000000"/>
    </cs:fontRef>
    <cs:defRPr sz="1800" b="1" kern="1200"/>
  </cs:title>
  <cs:trendline>
    <cs:lnRef idx="1">
      <a:sysClr val="windowText" lastClr="000000"/>
    </cs:lnRef>
    <cs:fillRef idx="0"/>
    <cs:effectRef idx="0"/>
    <cs:fontRef idx="minor">
      <a:sysClr val="windowText" lastClr="000000"/>
    </cs:fontRef>
    <cs:spPr>
      <a:ln cap="rnd">
        <a:round/>
      </a:ln>
    </cs:spPr>
  </cs:trendline>
  <cs:trendlineLabel>
    <cs:lnRef idx="0"/>
    <cs:fillRef idx="0"/>
    <cs:effectRef idx="0"/>
    <cs:fontRef idx="minor">
      <a:sysClr val="windowText" lastClr="000000"/>
    </cs:fontRef>
    <cs:defRPr sz="1000" kern="1200"/>
  </cs:trendlineLabel>
  <cs:upBar>
    <cs:lnRef idx="1">
      <a:sysClr val="windowText" lastClr="000000"/>
    </cs:lnRef>
    <cs:fillRef idx="1" mods="ignoreCSTransforms">
      <cs:styleClr val="0">
        <a:tint val="25000"/>
      </cs:styleClr>
    </cs:fillRef>
    <cs:effectRef idx="0"/>
    <cs:fontRef idx="minor">
      <a:sysClr val="windowText" lastClr="000000"/>
    </cs:fontRef>
    <cs:spPr>
      <a:ln>
        <a:round/>
      </a:ln>
    </cs:spPr>
  </cs:upBar>
  <cs:valueAxis>
    <cs:lnRef idx="1">
      <a:sysClr val="windowText" lastClr="000000">
        <a:tint val="75000"/>
      </a:sysClr>
    </cs:lnRef>
    <cs:fillRef idx="0"/>
    <cs:effectRef idx="0"/>
    <cs:fontRef idx="minor">
      <a:sysClr val="windowText" lastClr="000000"/>
    </cs:fontRef>
    <cs:spPr>
      <a:ln>
        <a:round/>
      </a:ln>
    </cs:spPr>
    <cs:defRPr sz="1000" kern="1200"/>
  </cs:valueAxis>
  <cs:wall>
    <cs:lnRef idx="0"/>
    <cs:fillRef idx="0"/>
    <cs:effectRef idx="0"/>
    <cs:fontRef idx="minor">
      <a:sysClr val="windowText" lastClr="000000"/>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9.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10.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11.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12.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13.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14.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15.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16.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17.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18.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19.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2.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20.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21.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22.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23.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24.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25.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26.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27.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28.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29.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3.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30.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31.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32.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33.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34.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35.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36.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37.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38.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39.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4.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40.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41.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42.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43.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44.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45.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46.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47.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48.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49.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5.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50.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51.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52.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53.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54.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55.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56.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57.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58.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59.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6.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60.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61.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62.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63.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64.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65.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66.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67.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68.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69.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7.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70.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71.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72.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74.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75.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78.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79.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8.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80.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81.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82.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83.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84.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85.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87.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90.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91.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商业计划书4"/>
      <sectRole val="1"/>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Manager>Abu设计</Manager>
  <Company>Abu设计</Company>
  <Pages>1</Pages>
  <Words>21</Words>
  <Characters>21</Characters>
  <Lines>0</Lines>
  <Paragraphs>0</Paragraphs>
  <TotalTime>0</TotalTime>
  <ScaleCrop>false</ScaleCrop>
  <LinksUpToDate>false</LinksUpToDate>
  <CharactersWithSpaces>21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信纸</cp:category>
  <dcterms:created xsi:type="dcterms:W3CDTF">2018-02-20T15:36:00Z</dcterms:created>
  <dc:creator>Abu设计</dc:creator>
  <dc:description>更多Abu设计的信纸请访问
http://chn.docer.com/works?userid=415014680
谢谢支持</dc:description>
  <cp:keywords>信纸 信笺背景</cp:keywords>
  <cp:lastModifiedBy>李海花</cp:lastModifiedBy>
  <dcterms:modified xsi:type="dcterms:W3CDTF">2024-01-27T09:57:01Z</dcterms:modified>
  <dc:subject>信纸</dc:subject>
  <dc:title>信纸-Abu设计</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2023-11-09T14:57:09Z</vt:filetime>
  </property>
  <property fmtid="{D5CDD505-2E9C-101B-9397-08002B2CF9AE}" pid="4" name="KSOProductBuildVer">
    <vt:lpwstr>2052-12.1.0.16120</vt:lpwstr>
  </property>
  <property fmtid="{D5CDD505-2E9C-101B-9397-08002B2CF9AE}" pid="5" name="ICV">
    <vt:lpwstr>5FCF75A7D0C647CCBD488B44AF0D0DE3_13</vt:lpwstr>
  </property>
  <property fmtid="{D5CDD505-2E9C-101B-9397-08002B2CF9AE}" pid="6" name="KSOSaveFontToCloudKey">
    <vt:lpwstr>590610_btnclosed</vt:lpwstr>
  </property>
</Properties>
</file>