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color w:val="auto"/>
          <w:sz w:val="44"/>
          <w:szCs w:val="44"/>
        </w:rPr>
      </w:pPr>
      <w:bookmarkStart w:id="0" w:name="_GoBack"/>
      <w:r>
        <w:rPr>
          <w:rFonts w:hint="eastAsia" w:ascii="方正小标宋简体" w:hAnsi="方正小标宋简体" w:eastAsia="方正小标宋简体" w:cs="方正小标宋简体"/>
          <w:b/>
          <w:color w:val="auto"/>
          <w:sz w:val="44"/>
          <w:szCs w:val="44"/>
        </w:rPr>
        <w:t>海南科技职业学院经费使用的管理办法</w:t>
      </w:r>
    </w:p>
    <w:bookmarkEnd w:id="0"/>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为了进一步规范学校经费使用，结合我校目前实际情况，特作如下规定：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一、经费使用原则</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（一）总原则</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开源节流，以工作实际需要为主导，在年度预算范围内，严格管理各类付款，确保每一</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rPr>
        <w:t>钱用出效益。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（二）服务原则</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流程清晰、及时便利。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（三）业务经费使用原则</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1.严格遵照立项、报批、审计、执行、验收、报销的流程。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2.一般不借款，</w:t>
      </w:r>
      <w:r>
        <w:rPr>
          <w:rFonts w:hint="eastAsia" w:ascii="仿宋_GB2312" w:hAnsi="仿宋_GB2312" w:eastAsia="仿宋_GB2312" w:cs="仿宋_GB2312"/>
          <w:color w:val="auto"/>
          <w:sz w:val="32"/>
          <w:szCs w:val="32"/>
          <w:lang w:eastAsia="zh-CN"/>
        </w:rPr>
        <w:t>所有业务（项目）经费，</w:t>
      </w:r>
      <w:r>
        <w:rPr>
          <w:rFonts w:hint="eastAsia" w:ascii="仿宋_GB2312" w:hAnsi="仿宋_GB2312" w:eastAsia="仿宋_GB2312" w:cs="仿宋_GB2312"/>
          <w:color w:val="auto"/>
          <w:sz w:val="32"/>
          <w:szCs w:val="32"/>
        </w:rPr>
        <w:t>事前不得将现金转入个人账户。</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3.报销票据与业务内容、区域、时间</w:t>
      </w:r>
      <w:r>
        <w:rPr>
          <w:rFonts w:hint="eastAsia" w:ascii="仿宋_GB2312" w:hAnsi="仿宋_GB2312" w:eastAsia="仿宋_GB2312" w:cs="仿宋_GB2312"/>
          <w:color w:val="auto"/>
          <w:sz w:val="32"/>
          <w:szCs w:val="32"/>
          <w:lang w:eastAsia="zh-CN"/>
        </w:rPr>
        <w:t>事项</w:t>
      </w:r>
      <w:r>
        <w:rPr>
          <w:rFonts w:hint="eastAsia" w:ascii="仿宋_GB2312" w:hAnsi="仿宋_GB2312" w:eastAsia="仿宋_GB2312" w:cs="仿宋_GB2312"/>
          <w:color w:val="auto"/>
          <w:sz w:val="32"/>
          <w:szCs w:val="32"/>
        </w:rPr>
        <w:t>必须具有严格一致性。</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各二级学院、行政处室业务费用金额超过1万元及以上的要求签定合同，并提供合同复印件；与学校建立年度供应合作关系并签订年度采购合作框架协议的采购业务，1万元以下的可提供采购订单、校内验收单或费用结算单（供应商盖业务章或财务章）。</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5.违反上述原则的不予报销。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二、业务使用经费审批权限与相关要求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（一）审批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1.审批权限不能越级执行，包括越上或越下。一人身兼多个管理角色时执行多个角色中额度最高的审批权限。</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2.跨部门费用(含归口管理费用)同时需要本部门和费用承担部门分管副校长签字审批后方可报销。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3.有审批权限的人员办理报销需上级审批，不得以员工名义申请、自己审批。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（二）票据（发票）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1.原始票据必须是盖有税务监制章的正规发票或者是盖有行政收费专用章的专用收据，财务处税务会计网上审验通过签字后按正常流程报销。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2.各单位办公经费、低值易耗品、低值耐用品等发票必须同时提供购物清单，不提供清单以及清单内容与业务内容不一致的不予报销。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3.原始票据的各项栏目必须填写齐全，内容填写清晰有序，不得涂改，具体要求如下：</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（1）单位名称必须填写“海南科技职业学院”；</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（2）金额的大小写必须相符，字迹清楚；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（3）日期、数量、单价、品名填写完整；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（4）票据上必须加盖开票方发票专用章。</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4.报销票据应与所报销的项目发生的内容时间、区域、事项一致，不一致的票据不予以报销。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除以下发票外，所有发票抬头为空或为“个人”的不予报销。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（1）个人通讯费发票，发票抬头为报销人本人及其在学校登记的移动电话号码。</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（2）定额发票（包括餐费，住宿费，通讯费用等）。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（3）汽油费发票抬头为“空”或“个人”，报销金额为报销标准金额与发票金额孰低的95%报销。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5.涉及营业税改增值税地区，外包费发票必须提供增值税专用发票，广告宣传、咨询、会议服务类发票尽可能提供增值税专用发票。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（三）费用报销时间要求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1.办公经费（固定电话和油费）按月报销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2.差旅费报销期限为回学校后的一个月内，连续出差两个月以上的在第三个月内报销。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3.其他费用在发生后一个月内报销。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4.所有费用必须在规定报销时间内报销完毕，不得逾期。逾期报销的以每月5%的幅度扣减报销总额，逾期3个月以上的费用不能报销。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（四）发票丢失处理办法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1.现金付款的原始单据丢失，责任由丢失人自负，不予报销。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2.普通发票和增值税发票丢失分别按如下规定处理：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（1）普通发票：发票存根联复印并加盖财务章（或发票专用章）作为报销依据，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（2）增值税发票：由经办人向收款单位申请重新开具发票。若不能取得合法发票的，将发票存根联复印并加盖财务章（或发票专用章）作为报销依据，并由经办人承担17％的增值税款。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三、预付款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（一）预付款类型</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1.保证金预付款：指项目招投标保证金和合同履约保证金的预付款。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2.其他业务预付付款：指国家规定预先缴纳的水电燃气等能源费用及员工社保公积金等人员费用、办公网络通讯费、公司车辆保险维修费、会议活动酒店预付款等转账付款。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（二）预付款要求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1.基本原则：前账不清，后款不付。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2.附件及还款时间要求：财务处将定期对预付款进行清理，未按照规定时间报销，数额大的给予通报批评，财务处并将预付款明细提交人事处，未归还的预付款将由工资中承担。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四、差旅费</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color w:val="auto"/>
          <w:sz w:val="32"/>
          <w:szCs w:val="32"/>
        </w:rPr>
      </w:pPr>
      <w:r>
        <w:rPr>
          <w:rFonts w:hint="eastAsia"/>
          <w:color w:val="auto"/>
          <w:sz w:val="32"/>
          <w:szCs w:val="32"/>
        </w:rPr>
        <w:t>（一）交通费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1.往返机场或车站的交通费只可报单程出租车费，其他按照每趟50元以内实报实销。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2.机票须经网上查证确认航程、价格</w:t>
      </w:r>
      <w:r>
        <w:rPr>
          <w:rFonts w:hint="eastAsia" w:ascii="仿宋_GB2312" w:hAnsi="仿宋_GB2312" w:eastAsia="仿宋_GB2312" w:cs="仿宋_GB2312"/>
          <w:color w:val="auto"/>
          <w:sz w:val="32"/>
          <w:szCs w:val="32"/>
          <w:lang w:eastAsia="zh-CN"/>
        </w:rPr>
        <w:t>与机票</w:t>
      </w:r>
      <w:r>
        <w:rPr>
          <w:rFonts w:hint="eastAsia" w:ascii="仿宋_GB2312" w:hAnsi="仿宋_GB2312" w:eastAsia="仿宋_GB2312" w:cs="仿宋_GB2312"/>
          <w:color w:val="auto"/>
          <w:sz w:val="32"/>
          <w:szCs w:val="32"/>
        </w:rPr>
        <w:t>一致</w:t>
      </w:r>
      <w:r>
        <w:rPr>
          <w:rFonts w:hint="eastAsia" w:ascii="仿宋_GB2312" w:hAnsi="仿宋_GB2312" w:eastAsia="仿宋_GB2312" w:cs="仿宋_GB2312"/>
          <w:color w:val="auto"/>
          <w:sz w:val="32"/>
          <w:szCs w:val="32"/>
          <w:lang w:eastAsia="zh-CN"/>
        </w:rPr>
        <w:t>，由报销人查证，并提供网上截图，</w:t>
      </w:r>
      <w:r>
        <w:rPr>
          <w:rFonts w:hint="eastAsia" w:ascii="仿宋_GB2312" w:hAnsi="仿宋_GB2312" w:eastAsia="仿宋_GB2312" w:cs="仿宋_GB2312"/>
          <w:color w:val="auto"/>
          <w:sz w:val="32"/>
          <w:szCs w:val="32"/>
        </w:rPr>
        <w:t>方可报销。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3.学生不能乘坐飞机，若乘坐飞机，只能按对应的火车票价报销。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4.同一地区不同城市之间的往来，只能乘坐长途汽车或火车。乘坐出租车的按相应长途汽车或火车票价报销。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5.出差期间不报销招待费用，若需招待，须报批后方可报销。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（二）住宿与目的地市内交通费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1.住宿费按职务职称标准执行，超额不报。详见海南科技职业学院海科科字【2015】4号《海南科技职业学院科研项目经费管理办法》附件2</w:t>
      </w:r>
      <w:r>
        <w:rPr>
          <w:rFonts w:hint="eastAsia" w:ascii="仿宋_GB2312" w:hAnsi="仿宋_GB2312" w:eastAsia="仿宋_GB2312" w:cs="仿宋_GB2312"/>
          <w:color w:val="auto"/>
          <w:sz w:val="32"/>
          <w:szCs w:val="32"/>
          <w:lang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2.住宿费报销时必须提供住宿明细清单，无明细清单的在限额内按发票金额的80%报销。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3.一次多地出差，报销标准可以合并计算，以节余补超支。</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4.同性别员工两人出差应入住一个标准间。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（三）支持差旅报销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支持差旅报销本部人员到客户经营机构进行业务支持的差旅费报销，费用由客户经营机构所在的分公司承担。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1.报销人填制支持差旅网上报销单，按正常的差旅费报销流程由报销人所属分管副校长审核。</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2.费用承担部门的领导、分管领导和财务部审批，报事务中心，呈校长审批后方可报销。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（四）其他规定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1.所有差旅费，先由个人信用卡支付，然后凭据报销。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2.所有报销票据必须是原始票据。</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3.乘坐火车，从晚上8时至次日晨7时之间乘车时间6小时以上或其他时间连续乘车10小时以上，可购买同席卧铺车票。凡符合购买卧铺票而未购卧铺票的，按普通硬座票价的60%发放补贴（D或G字头车座票除外）。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4.趁出差工作之便，事先经分管副校长批准就近回家探亲、办事的，其绕道车、船费用超过出差直线单程车、船票票价多开支部分由个人自理，学校不承担绕道和在家期间的差旅补贴和住宿费、交通费。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5.研发项目的调研费须先书面申请经领导批准后方可执行。研发人员报销涉及“调研”的差旅费用，需提交开发分管部门签字确认相应的调研报告相应记录。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五、技能大赛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（一）技能大赛预付款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教育厅或教育部、人社厅、省体文会、数学建模、教育厅和教育部或行业牵头的比赛，经校长审批同意参加比赛的项目，教务处审批预付款方案，校长终审批准后方可预付款项。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楷体" w:hAnsi="楷体" w:eastAsia="楷体" w:cs="楷体"/>
          <w:b/>
          <w:bCs/>
          <w:color w:val="auto"/>
          <w:sz w:val="32"/>
          <w:szCs w:val="32"/>
        </w:rPr>
      </w:pPr>
      <w:r>
        <w:rPr>
          <w:rFonts w:hint="eastAsia" w:ascii="楷体" w:hAnsi="楷体" w:eastAsia="楷体" w:cs="楷体"/>
          <w:b/>
          <w:bCs/>
          <w:color w:val="auto"/>
          <w:sz w:val="32"/>
          <w:szCs w:val="32"/>
        </w:rPr>
        <w:t>（二）技能大赛预付款报销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厅或教育部、人社厅、省体文会、数学建模、在教育厅和教育部或行业牵头的比赛，在比赛结果后进行比赛经费的报销，附报销单、比赛期间使用经费的发票、比赛准备方案、比赛文件、比赛获奖结果简报，由经办人签字，部门负责人审核签字，教务处实训科负责人审核签字，并列入每年比赛经费的报销汇总，教务处处长审核签字，分管校领导复核签字，校长审批后方可报销。（报销票据应与所报销的项目发生的内容时间、区域、事项一致，不一致的票据不予以报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六、固定资产管理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1.不需预付款采购的，各院部处室申请购买，分管业务副校长审批后呈校长、法人代表签署意见，若同意购买，报销时应提供如下附件：固定资产购买申请表、固定资产比价或招标工作过程、固定资产采购协议书、固定资产数量使用部门预验收单、固定资产质量验收单、固定资产入库单、税票，按各分项协议标准审批。</w:t>
      </w:r>
      <w:r>
        <w:rPr>
          <w:rFonts w:hint="eastAsia" w:ascii="仿宋_GB2312" w:hAnsi="仿宋_GB2312" w:eastAsia="仿宋_GB2312" w:cs="仿宋_GB2312"/>
          <w:bCs/>
          <w:color w:val="auto"/>
          <w:sz w:val="32"/>
          <w:szCs w:val="32"/>
        </w:rPr>
        <w:t>根据学校校长、法人代表终审的合同原件、固定资产项目质量、数量预验收单原件进行现场验收数量、验收标明外观、质量后，开具固定资产入库单，在质量、数量预验收单和合同原件上加盖入库单号码章，记入库单号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Cs/>
          <w:color w:val="auto"/>
          <w:sz w:val="32"/>
          <w:szCs w:val="32"/>
        </w:rPr>
        <w:t>关于采购批量固定资产需要预付款，应提供以下附件：包括《加盖公章的供应单位在年检有效期内工商注册的营业执照复印件》、《加盖公章的供应单位在年检有效期内税务登记证复印件》、《加盖公章的供应单位在年检有效期内组织机构代码证复印件》、《</w:t>
      </w:r>
      <w:r>
        <w:rPr>
          <w:rFonts w:hint="eastAsia" w:ascii="仿宋_GB2312" w:hAnsi="仿宋_GB2312" w:eastAsia="仿宋_GB2312" w:cs="仿宋_GB2312"/>
          <w:color w:val="auto"/>
          <w:sz w:val="32"/>
          <w:szCs w:val="32"/>
        </w:rPr>
        <w:t>采购协议书有档案馆签收已收原件字样的协议书复印件》，预付款支付帐号名称与协议书签约名称一致，附件资料齐全方可逐级审批办理。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3.需要签订购买合同的，原合同必须有校长、法人代表签字同意，按照协议签订合同，按合同约定程序付款。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4.固定资产验收入库时，在入库单上同时贴上固定资产编码标贴。财务处的固定资产汇总表补充固定资产编码标贴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kern w:val="2"/>
          <w:sz w:val="32"/>
          <w:szCs w:val="32"/>
        </w:rPr>
      </w:pPr>
      <w:r>
        <w:rPr>
          <w:rFonts w:hint="eastAsia" w:ascii="黑体" w:hAnsi="黑体" w:eastAsia="黑体" w:cs="黑体"/>
          <w:b/>
          <w:bCs/>
          <w:color w:val="auto"/>
          <w:kern w:val="2"/>
          <w:sz w:val="32"/>
          <w:szCs w:val="32"/>
        </w:rPr>
        <w:t>七、业务交流费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业务交流费必须事前逐级审批批准，报销时必须附“报销明细附件”，列明招待客户的单位名称、人数及事由，所有审批人须在报销单和明细附件上同时签字。除餐费以外的业务招待费用无论金额大小均需提供购物小票(或购物清单)，无购物小票的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2.市内外出已领午餐补贴的，不再报销误餐费。出差人员已报销差旅补贴的，不再领取午餐补贴。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ascii="黑体" w:hAnsi="黑体" w:eastAsia="黑体" w:cs="黑体"/>
          <w:b/>
          <w:bCs/>
          <w:color w:val="auto"/>
          <w:kern w:val="2"/>
          <w:sz w:val="32"/>
          <w:szCs w:val="32"/>
        </w:rPr>
      </w:pPr>
      <w:r>
        <w:rPr>
          <w:rFonts w:hint="eastAsia" w:ascii="黑体" w:hAnsi="黑体" w:eastAsia="黑体" w:cs="黑体"/>
          <w:b/>
          <w:bCs/>
          <w:color w:val="auto"/>
          <w:kern w:val="2"/>
          <w:sz w:val="32"/>
          <w:szCs w:val="32"/>
        </w:rPr>
        <w:t>八、罚则</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如有虚假报销、重复报销等费用报销舞弊行为，首次发现处以下列处罚：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1.整笔单据作废，不予报销；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2.通报所在部门的领导。</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3.一次舞弊金额重大的，</w:t>
      </w:r>
      <w:r>
        <w:rPr>
          <w:rFonts w:hint="eastAsia" w:ascii="仿宋_GB2312" w:hAnsi="仿宋_GB2312" w:eastAsia="仿宋_GB2312" w:cs="仿宋_GB2312"/>
          <w:color w:val="auto"/>
          <w:sz w:val="32"/>
          <w:szCs w:val="32"/>
          <w:lang w:eastAsia="zh-CN"/>
        </w:rPr>
        <w:t>或再次报销舞弊者，</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将按</w:t>
      </w:r>
      <w:r>
        <w:rPr>
          <w:rFonts w:hint="eastAsia" w:ascii="仿宋_GB2312" w:hAnsi="仿宋_GB2312" w:eastAsia="仿宋_GB2312" w:cs="仿宋_GB2312"/>
          <w:color w:val="auto"/>
          <w:sz w:val="32"/>
          <w:szCs w:val="32"/>
        </w:rPr>
        <w:t>的相关制度</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处罚。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本制度自签发之日起执行，</w:t>
      </w:r>
      <w:r>
        <w:rPr>
          <w:rFonts w:hint="eastAsia" w:ascii="仿宋_GB2312" w:hAnsi="仿宋_GB2312" w:eastAsia="仿宋_GB2312" w:cs="仿宋_GB2312"/>
          <w:color w:val="auto"/>
          <w:sz w:val="32"/>
          <w:szCs w:val="32"/>
          <w:lang w:eastAsia="zh-CN"/>
        </w:rPr>
        <w:t>之前余留未报业务，参照本办法执行。原</w:t>
      </w:r>
      <w:r>
        <w:rPr>
          <w:rFonts w:hint="eastAsia" w:ascii="仿宋_GB2312" w:hAnsi="仿宋_GB2312" w:eastAsia="仿宋_GB2312" w:cs="仿宋_GB2312"/>
          <w:color w:val="auto"/>
          <w:sz w:val="32"/>
          <w:szCs w:val="32"/>
        </w:rPr>
        <w:t>发布的与此相关的制度一并废止。本制度的解释权归财务预算管理。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Courier New">
    <w:panose1 w:val="02070309020205020404"/>
    <w:charset w:val="00"/>
    <w:family w:val="modern"/>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BDC"/>
    <w:rsid w:val="00000BDC"/>
    <w:rsid w:val="002C137E"/>
    <w:rsid w:val="003A142E"/>
    <w:rsid w:val="005347DF"/>
    <w:rsid w:val="00D93C85"/>
    <w:rsid w:val="01E279F8"/>
    <w:rsid w:val="11880EE9"/>
    <w:rsid w:val="171A0820"/>
    <w:rsid w:val="186F1062"/>
    <w:rsid w:val="1F3D49FB"/>
    <w:rsid w:val="28685095"/>
    <w:rsid w:val="39670994"/>
    <w:rsid w:val="3DD719F6"/>
    <w:rsid w:val="3E946677"/>
    <w:rsid w:val="3F9A3ABD"/>
    <w:rsid w:val="3FE22E19"/>
    <w:rsid w:val="45DB0D59"/>
    <w:rsid w:val="48B70DA1"/>
    <w:rsid w:val="5E4668DA"/>
    <w:rsid w:val="5FAA2336"/>
    <w:rsid w:val="7C141E5C"/>
    <w:rsid w:val="7C3853FA"/>
    <w:rsid w:val="7FF9489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7"/>
    <w:unhideWhenUsed/>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纯文本 Char"/>
    <w:basedOn w:val="5"/>
    <w:link w:val="2"/>
    <w:semiHidden/>
    <w:qFormat/>
    <w:uiPriority w:val="0"/>
    <w:rPr>
      <w:rFonts w:ascii="宋体" w:hAnsi="Courier New" w:eastAsia="宋体" w:cs="Times New Roman"/>
      <w:szCs w:val="20"/>
    </w:rPr>
  </w:style>
  <w:style w:type="paragraph" w:customStyle="1" w:styleId="8">
    <w:name w:val="t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549</Words>
  <Characters>3134</Characters>
  <Lines>26</Lines>
  <Paragraphs>7</Paragraphs>
  <ScaleCrop>false</ScaleCrop>
  <LinksUpToDate>false</LinksUpToDate>
  <CharactersWithSpaces>3676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2016-04-13T01:16:00Z</dcterms:created>
  <dc:creator>admin</dc:creator>
  <cp:lastModifiedBy>Administrator</cp:lastModifiedBy>
  <dcterms:modified xsi:type="dcterms:W3CDTF">2016-04-22T04:08:56Z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